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国内水路运输管理条例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(2012年10月13日中华人民共和国国务院令第625号公布　根据2016年2月6日《国务院关于修改部分行政法规的决定》第一次修订　根据2017年3月1日《国务院关于修改和废止部分行政法规的决定》第二次修订　根据2023年7月20日《国务院关于修改和废止部分行政法规的决定》第三次修订)</w:t>
      </w:r>
    </w:p>
    <w:p>
      <w:pPr>
        <w:pStyle w:val="3"/>
        <w:bidi w:val="0"/>
      </w:pPr>
      <w:r>
        <w:rPr>
          <w:rFonts w:hint="eastAsia"/>
        </w:rPr>
        <w:t>第一章　总</w:t>
      </w:r>
      <w:r>
        <w:rPr>
          <w:rFonts w:hint="eastAsia"/>
          <w:lang w:eastAsia="zh-CN"/>
        </w:rPr>
        <w:t>　　</w:t>
      </w:r>
      <w:r>
        <w:rPr>
          <w:rFonts w:hint="eastAsia"/>
        </w:rPr>
        <w:t>则</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为了规范国内水路运输经营行为，维护国内水路运输市场秩序，保障国内水路运输安全，促进国内水路运输业健康发展，制定本条例。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经营国内水路运输以及水路运输辅助业务，应当遵守本条例。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本条例所称国内水路运输(以下简称水路运输)，是指始发港、挂靠港和目的港均在中华人民共和国管辖的通航水域内的经营性旅客运输和货物运输。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本条例所称水路运输辅助业务，是指直接为水路运输提供服务的船舶管理、船舶代理、水路旅客运输代理和水路货物运输代理等经营活动。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国家鼓励和保护水路运输市场的公平竞争，禁止垄断和不正当竞争行为。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运用经济、技术政策等措施，支持和鼓励水路运输经营者实行规模化、集约化经营，促进水路运输行业结构调整；支持和鼓励水路运输经营者采用先进适用的水路运输设备和技术，保障运输安全，促进节约能源，减少污染物排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国家保护水路运输经营者、旅客和货主的合法权益。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国务院交通运输主管部门主管全国水路运输管理工作。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县级以上地方人民政府交通运输主管部门主管本行政区域的水路运输管理工作。县级以上地方人民政府负责水路运输管理的部门或者机构(以下统称负责水路运输管理的部门)承担本条例规定的水路运输管理工作。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经营水路运输及其辅助业务，应当遵守法律、法规，诚实守信。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国务院交通运输主管部门和负责水路运输管理的部门应当依法对水路运输市场实施监督管理，对水路运输及其辅助业务的违法经营活动实施处罚，并建立经营者诚信管理制度，及时向社会公告监督检查情况。</w:t>
      </w:r>
    </w:p>
    <w:p>
      <w:pPr>
        <w:pStyle w:val="3"/>
        <w:bidi w:val="0"/>
      </w:pPr>
      <w:r>
        <w:rPr>
          <w:rFonts w:hint="eastAsia"/>
        </w:rPr>
        <w:t>第二章　水路运输经营者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申请经营水路运输业务，除本条例第七条规定的情形外，申请人应当符合下列条件：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(一)取得企业法人资格；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(二)有符合本条例第十三条规定的船舶，并且自有船舶运力符合国务院交通运输主管部门的规定；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(三)有明确的经营范围，其中申请经营水路旅客班轮运输业务的，还应当有可行的航线营运计划；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(四)有与其申请的经营范围和船舶运力相适应的海务、机务管理人员；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(五)与其直接订立劳动合同的高级船员占全部船员的比例符合国务院交通运输主管部门的规定；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(六)有健全的安全管理制度；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个人可以申请经营内河普通货物运输业务。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申请经营内河普通货物运输业务的个人，应当有符合本条例第十三条规定且船舶吨位不超过国务院交通运输主管部门规定的自有船舶，并应当符合本条例第六条第六项、第七项规定的条件。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经营水路运输业务，应当按照国务院交通运输主管部门的规定，经国务院交通运输主管部门或者设区的市级以上地方人民政府负责水路运输管理的部门批准。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申请经营水路运输业务，应当向前款规定的负责审批的部门提交申请书和证明申请人符合本条例第六条或者第七条规定条件的相关材料。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审批的部门应当自受理申请之日起30个工作日内审查完毕，作出准予许可或者不予许可的决定。予以许可的，发给水路运输业务经营许可证件，并为申请人投入运营的船舶配发船舶营运证件；不予许可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各级交通运输主管部门应当做好水路运输市场统计和调查分析工作，定期向社会公布水路运输市场运力供需状况。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为保障水路运输安全，维护水路运输市场的公平竞争秩序，国务院交通运输主管部门可以根据水路运输市场监测情况，决定在特定的旅客班轮运输和散装液体危险货物运输航线、水域暂停新增运力许可。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采取前款规定的运力调控措施，应当符合公开、公平、公正的原则，在开始实施的60日前向社会公告，说明采取措施的理由以及采取措施的范围、期限等事项。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外国的企业、其他经济组织和个人不得经营水路运输业务，也不得以租用中国籍船舶或者舱位等方式变相经营水路运输业务。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香港特别行政区、澳门特别行政区和台湾地区的企业、其他经济组织以及个人参照适用前款规定，国务院另有规定的除外。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依照本条例取得许可的水路运输经营者终止经营的，应当自终止经营之日起15个工作日内向原许可机关办理注销许可手续，交回水路运输业务经营许可证件。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水路运输经营者投入运营的船舶应当符合下列条件：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(一)与经营者的经营范围相适应；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(二)取得有效的船舶登记证书和检验证书；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(三)符合国务院交通运输主管部门关于船型技术标准和船龄的要求；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水路运输经营者新增船舶投入运营的，应当凭水路运输业务经营许可证件、船舶登记证书和检验证书向国务院交通运输主管部门或者设区的市级以上地方人民政府负责水路运输管理的部门领取船舶营运证件。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从事水路运输经营的船舶应当随船携带船舶营运证件。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海事管理机构在现场监督检查时，发现从事水路运输的船舶不能提供有效的船舶营运证件的，应当通知有关主管部门依法处理。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家根据保障运输安全、保护水环境、节约能源、提高航道和通航设施利用效率的需求，制定并实施新的船型技术标准时，对正在使用的不符合新标准但符合原有标准且未达到规定报废船龄的船舶，可以采取资金补贴等措施，引导、鼓励水路运输经营者进行更新、改造；需要强制提前报废的，应当对船舶所有人给予补偿。具体办法由国务院交通运输主管部门会同国务院财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水路运输经营者不得使用外国籍船舶经营水路运输业务。但是，在国内没有能够满足所申请运输要求的中国籍船舶，并且船舶停靠的港口或者水域为对外开放的港口或者水域的情况下，经国务院交通运输主管部门许可，水路运输经营者可以在国务院交通运输主管部门规定的期限或者航次内，临时使用外国籍船舶运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在香港特别行政区、澳门特别行政区、台湾地区进行船籍登记的船舶，参照适用本条例关于外国籍船舶的规定，国务院另有规定的除外。</w:t>
      </w:r>
    </w:p>
    <w:p>
      <w:pPr>
        <w:pStyle w:val="3"/>
        <w:bidi w:val="0"/>
      </w:pPr>
      <w:r>
        <w:rPr>
          <w:rFonts w:hint="eastAsia"/>
        </w:rPr>
        <w:t>第三章　水路运输经营活动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水路运输经营者应当在依法取得许可的经营范围内从事水路运输经营。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水路运输经营者应当使用符合本条例规定条件、配备合格船员的船舶，并保证船舶处于适航状态。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水路运输经营者应当按照船舶核定载客定额或者载重量载运旅客、货物，不得超载或者使用货船载运旅客。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水路运输经营者应当依照法律、行政法规和国务院交通运输主管部门关于水路旅客、货物运输的规定、质量标准以及合同的约定，为旅客、货主提供安全、便捷、优质的服务，保证旅客、货物运输安全。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水路旅客运输业务经营者应当为其客运船舶投保承运人责任保险或者取得相应的财务担保。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水路运输经营者运输危险货物，应当遵守法律、行政法规以及国务院交通运输主管部门关于危险货物运输的规定，使用依法取得危险货物适装证书的船舶，按照规定的安全技术规范进行配载和运输，保证运输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旅客班轮运输业务经营者应当自取得班轮航线经营许可之日起60日内开航，并在开航15日前公布所使用的船舶、班期、班次、运价等信息。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旅客班轮运输应当按照公布的班期、班次运行；变更班期、班次、运价的，应当在15日前向社会公布；停止经营部分或者全部班轮航线的，应当在30日前向社会公布并报原许可机关备案。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货物班轮运输业务经营者应当在班轮航线开航的7日前，公布所使用的船舶以及班期、班次和运价。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货物班轮运输应当按照公布的班期、班次运行；变更班期、班次、运价或者停止经营部分或者全部班轮航线的，应当在7日前向社会公布。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水路运输经营者应当依照法律、行政法规和国家有关规定，优先运送处置突发事件所需的物资、设备、工具、应急救援人员和受到突发事件危害的人员，重点保障紧急、重要的军事运输。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出现关系国计民生的紧急运输需求时，国务院交通运输主管部门按照国务院的部署，可以要求水路运输经营者优先运输需要紧急运输的物资。水路运输经营者应当按照要求及时运输。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水路运输经营者应当按照统计法律、行政法规的规定报送统计信息。</w:t>
      </w:r>
    </w:p>
    <w:p>
      <w:pPr>
        <w:pStyle w:val="3"/>
        <w:bidi w:val="0"/>
      </w:pPr>
      <w:r>
        <w:rPr>
          <w:rFonts w:hint="eastAsia"/>
        </w:rPr>
        <w:t>第四章　水路运输辅助业务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运输船舶的所有人、经营人可以委托船舶管理业务经营者为其提供船舶海务、机务管理等服务。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申请经营船舶管理业务，申请人应当符合下列条件：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(一)取得企业法人资格；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(二)有健全的安全管理制度；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(三)有与其申请管理的船舶运力相适应的海务、机务管理人员；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经营船舶管理业务，应当经设区的市级以上地方人民政府负责水路运输管理的部门批准。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申请经营船舶管理业务，应当向前款规定的部门提交申请书和证明申请人符合本条例第二十六条规定条件的相关材料。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申请的部门应当自受理申请之日起30个工作日内审查完毕，作出准予许可或者不予许可的决定。予以许可的，发给船舶管理业务经营许可证件，并向国务院交通运输主管部门备案；不予许可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船舶管理业务经营者接受委托提供船舶管理服务，应当与委托人订立书面合同，并将合同报所在地海事管理机构备案。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船舶管理业务经营者应当按照国家有关规定和合同约定履行有关船舶安全和防止污染的管理义务。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水路运输经营者可以委托船舶代理、水路旅客运输代理、水路货物运输代理业务的经营者，代办船舶进出港手续等港口业务，代为签订运输合同，代办旅客、货物承揽业务以及其他水路运输代理业务。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船舶代理、水路旅客运输代理业务的经营者应当自企业设立登记之日起15个工作日内，向所在地设区的市级人民政府负责水路运输管理的部门备案。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船舶代理、水路旅客运输代理、水路货物运输代理业务的经营者接受委托提供代理服务，应当与委托人订立书面合同，按照国家有关规定和合同约定办理代理业务，不得强行代理，不得为未依法取得水路运输业务经营许可或者超越许可范围的经营者办理代理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本条例第十二条、第十七条的规定适用于船舶管理业务经营者。本条例第十一条、第二十四条的规定适用于船舶管理、船舶代理、水路旅客运输代理和水路货物运输代理业务经营活动。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国务院交通运输主管部门应当依照本条例的规定制定水路运输辅助业务的具体管理办法。</w:t>
      </w:r>
    </w:p>
    <w:p>
      <w:pPr>
        <w:pStyle w:val="3"/>
        <w:bidi w:val="0"/>
      </w:pPr>
      <w:r>
        <w:rPr>
          <w:rFonts w:hint="eastAsia"/>
        </w:rP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未经许可擅自经营或者超越许可范围经营水路运输业务或者国内船舶管理业务的，由负责水路运输管理的部门责令停止经营，没收违法所得，并处违法所得1倍以上5倍以下的罚款；没有违法所得或者违法所得不足3万元的，处3万元以上15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水路运输经营者使用未取得船舶营运证件的船舶从事水路运输的，由负责水路运输管理的部门责令该船停止经营，没收违法所得，并处违法所得1倍以上5倍以下的罚款；没有违法所得或者违法所得不足2万元的，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水路运输经营者未经国务院交通运输主管部门许可或者超越许可范围使用外国籍船舶经营水路运输业务，或者外国的企业、其他经济组织和个人经营或者以租用中国籍船舶或者舱位等方式变相经营水路运输业务的，由负责水路运输管理的部门责令停止经营，没收违法所得，并处违法所得1倍以上5倍以下的罚款；没有违法所得或者违法所得不足20万元的，处20万元以上100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以欺骗或者贿赂等不正当手段取得本条例规定的行政许可的，由原许可机关撤销许可，处2万元以上20万元以下的罚款；有违法所得的，没收违法所得；国务院交通运输主管部门或者负责水路运输管理的部门自撤销许可之日起3年内不受理其对该项许可的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出租、出借、倒卖本条例规定的行政许可证件或者以其他方式非法转让本条例规定的行政许可的，由负责水路运输管理的部门责令改正，没收违法所得，并处违法所得1倍以上5倍以下的罚款；没有违法所得或者违法所得不足3万元的，处3万元以上15万元以下的罚款；情节严重的，由原许可机关吊销相应的许可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伪造、变造、涂改本条例规定的行政许可证件的，由负责水路运输管理的部门没收伪造、变造、涂改的许可证件，处3万元以上15万元以下的罚款；有违法所得的，没收违法所得。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水路运输经营者有下列情形之一的，由海事管理机构依法予以处罚：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(一)未按照规定配备船员或者未使船舶处于适航状态；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(二)超越船舶核定载客定额或者核定载重量载运旅客或者货物；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(三)使用货船载运旅客；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(四)使用未取得危险货物适装证书的船舶运输危险货物。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水路旅客运输业务经营者未为其经营的客运船舶投保承运人责任保险或者取得相应的财务担保的，由负责水路运输管理的部门责令限期改正，处2万元以上10万元以下的罚款；逾期不改正的，由原许可机关吊销该客运船舶的船舶营运许可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班轮运输业务经营者未提前向社会公布所使用的船舶、班期、班次和运价或者其变更信息的，由负责水路运输管理的部门责令改正，处2000元以上2万元以下的罚款。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旅客班轮运输业务经营者自取得班轮航线经营许可之日起60日内未开航的，由负责水路运输管理的部门责令改正；拒不改正的，由原许可机关撤销该项经营许可。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水路运输、船舶管理业务经营者取得许可后，不再具备本条例规定的许可条件的，由负责水路运输管理的部门责令限期整改；在规定期限内整改仍不合格的，由原许可机关撤销其经营许可。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负责水路运输管理的国家工作人员在水路运输管理活动中滥用职权、玩忽职守、徇私舞弊，不依法履行职责的，依法给予处分。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违反本条例规定，构成违反治安管理行为的，依法给予治安管理处罚；构成犯罪的，依法追究刑事责任。</w:t>
      </w:r>
    </w:p>
    <w:p>
      <w:pPr>
        <w:pStyle w:val="3"/>
        <w:jc w:val="center"/>
        <w:rPr>
          <w:rFonts w:ascii="方正黑体_GBK" w:eastAsia="方正黑体_GBK"/>
        </w:rPr>
      </w:pPr>
      <w:r>
        <w:rPr>
          <w:rFonts w:hint="eastAsia" w:ascii="方正黑体_GBK" w:hAnsi="Times New Roman" w:eastAsia="方正黑体_GBK" w:cs="Times New Roman"/>
        </w:rPr>
        <w:t>第六章　附</w:t>
      </w:r>
      <w:r>
        <w:rPr>
          <w:rFonts w:hint="eastAsia" w:ascii="方正黑体_GBK" w:hAnsi="Times New Roman" w:cs="Times New Roman"/>
          <w:lang w:eastAsia="zh-CN"/>
        </w:rPr>
        <w:t>　　</w:t>
      </w:r>
      <w:r>
        <w:rPr>
          <w:rFonts w:hint="eastAsia" w:ascii="方正黑体_GBK" w:hAnsi="Times New Roman" w:eastAsia="方正黑体_GBK" w:cs="Times New Roman"/>
        </w:rPr>
        <w:t>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载客12人以下的客运船舶以及乡、镇客运渡船运输的管理办法，由省、自治区、直辖市人民政府另行制定。</w:t>
      </w:r>
    </w:p>
    <w:p>
      <w:pPr>
        <w:ind w:firstLine="640" w:firstLineChars="200"/>
        <w:rPr>
          <w:rFonts w:hint="eastAsia" w:ascii="仿宋_GB2312" w:hAnsi="仿宋_GB2312" w:eastAsia="仿宋_GB2312" w:cs="仿宋_GB2312"/>
          <w:kern w:val="2"/>
          <w:sz w:val="32"/>
          <w:szCs w:val="32"/>
          <w:lang w:val="en-US" w:eastAsia="zh-CN" w:bidi="ar-SA"/>
        </w:rPr>
      </w:pPr>
      <w:r>
        <w:rPr>
          <w:rFonts w:ascii="Times New Roman" w:hAnsi="Times New Roman" w:eastAsia="黑体" w:cs="Times New Roman"/>
          <w:sz w:val="32"/>
          <w:szCs w:val="32"/>
        </w:rPr>
        <w:t>第四十六条　</w:t>
      </w:r>
      <w:r>
        <w:rPr>
          <w:rFonts w:hint="eastAsia" w:ascii="仿宋_GB2312" w:hAnsi="仿宋_GB2312" w:eastAsia="仿宋_GB2312" w:cs="仿宋_GB2312"/>
          <w:kern w:val="2"/>
          <w:sz w:val="32"/>
          <w:szCs w:val="32"/>
          <w:lang w:val="en-US" w:eastAsia="zh-CN" w:bidi="ar-SA"/>
        </w:rPr>
        <w:t>本条例自2013年1月1日起施行。1987年5月12日国务院发布的《中华人民共和国水路运输管理条例》同时废止。</w:t>
      </w:r>
    </w:p>
    <w:p>
      <w:pPr>
        <w:widowControl/>
        <w:spacing w:line="500" w:lineRule="exact"/>
        <w:ind w:firstLine="664" w:firstLineChars="200"/>
        <w:jc w:val="left"/>
        <w:rPr>
          <w:rFonts w:hint="eastAsia" w:ascii="楷体_GB2312" w:hAnsi="楷体_GB2312" w:eastAsia="楷体_GB2312" w:cs="楷体_GB2312"/>
          <w:bCs/>
          <w:spacing w:val="6"/>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2327B5"/>
    <w:rsid w:val="14484CDF"/>
    <w:rsid w:val="155E2CB3"/>
    <w:rsid w:val="157124FD"/>
    <w:rsid w:val="15B17054"/>
    <w:rsid w:val="16173655"/>
    <w:rsid w:val="16881049"/>
    <w:rsid w:val="16E85B46"/>
    <w:rsid w:val="174517D7"/>
    <w:rsid w:val="18413C16"/>
    <w:rsid w:val="18971E78"/>
    <w:rsid w:val="18C776B0"/>
    <w:rsid w:val="198A0A54"/>
    <w:rsid w:val="19DB6C33"/>
    <w:rsid w:val="1A3209E2"/>
    <w:rsid w:val="1A680A2A"/>
    <w:rsid w:val="1ABC528A"/>
    <w:rsid w:val="1BAF2172"/>
    <w:rsid w:val="1C6F6A7C"/>
    <w:rsid w:val="1C9212F7"/>
    <w:rsid w:val="1D1A78F5"/>
    <w:rsid w:val="1D7D26A5"/>
    <w:rsid w:val="1FE16FBA"/>
    <w:rsid w:val="2096095A"/>
    <w:rsid w:val="20D86240"/>
    <w:rsid w:val="21CB6604"/>
    <w:rsid w:val="21CE0F2E"/>
    <w:rsid w:val="221D0BEA"/>
    <w:rsid w:val="22DD4281"/>
    <w:rsid w:val="253620CC"/>
    <w:rsid w:val="25636DDB"/>
    <w:rsid w:val="25981EEB"/>
    <w:rsid w:val="25BF3D61"/>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474C90"/>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HAnsi" w:hAnsiTheme="minorHAnsi"/>
      <w:b/>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5586</Words>
  <Characters>5635</Characters>
  <Lines>69</Lines>
  <Paragraphs>19</Paragraphs>
  <TotalTime>2</TotalTime>
  <ScaleCrop>false</ScaleCrop>
  <LinksUpToDate>false</LinksUpToDate>
  <CharactersWithSpaces>5694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2023-08-22T12:28:11Z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