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长江河道采砂管理条例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hint="eastAsia" w:ascii="楷体_GB2312" w:hAnsi="楷体_GB2312" w:eastAsia="楷体_GB2312" w:cs="楷体_GB2312"/>
          <w:spacing w:val="6"/>
          <w:sz w:val="32"/>
          <w:szCs w:val="32"/>
        </w:rPr>
        <w:t>2001年10月25日中华人民共和国国务院令第320号公布　</w:t>
      </w:r>
      <w:r>
        <w:rPr>
          <w:rFonts w:hint="eastAsia" w:ascii="楷体_GB2312" w:hAnsi="Times New Roman" w:eastAsia="楷体_GB2312" w:cs="Times New Roman"/>
          <w:sz w:val="32"/>
          <w:szCs w:val="32"/>
          <w:lang w:bidi="ar"/>
        </w:rPr>
        <w:t>根据2023年7月20日《国务院关于修改和废止部分行政法规的决定》修订</w:t>
      </w:r>
      <w:r>
        <w:rPr>
          <w:rFonts w:hint="eastAsia" w:ascii="楷体_GB2312" w:hAnsi="楷体_GB2312" w:eastAsia="楷体_GB2312" w:cs="楷体_GB2312"/>
          <w:bCs/>
          <w:spacing w:val="6"/>
          <w:kern w:val="2"/>
          <w:sz w:val="32"/>
          <w:szCs w:val="32"/>
          <w:shd w:val="clear" w:color="auto" w:fill="FFFFFF"/>
          <w:lang w:val="en-US" w:eastAsia="zh-CN" w:bidi="ar-SA"/>
        </w:rPr>
        <w:t>)</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为了加强长江河道采砂管理，维护长江河势稳定，保障防洪和通航安全，制定本条例。</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在长江宜宾以下干流河道内从事开采砂石(以下简称长江采砂)及其管理活动的，应当遵守本条例。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国务院水行政主管部门及其所属的长江水利委员会应当加强对长江采砂的统一管理和监督检查，并做好有关组织、协调和指导工作。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长江采砂管理，实行地方人民政府行政首长负责制。沿江县级以上地方人民政府应当加强对本行政区域内长江采砂活动的管理，做好长江采砂的组织、协调和监督检查工作。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沿江县级以上地方人民政府水行政主管部门依照本条例的规定，具体负责本行政区域内长江采砂的管理和监督检查工作。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国务院交通行政主管部门所属的长江航务管理局负责长江航道管理工作，长江海事机构负责长江交通安全的监督管理工作。公安部门负责长江水上治安管理工作，依法打击长江采砂活动中的犯罪行为。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国家对长江采砂实行统一规划制度。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采砂规划由长江水利委员会会同四川省、湖北省、湖南省、江西省、安徽省、江苏省和重庆市、上海市人民政府水行政主管部门编制，经征求长江航务管理局和长江海事机构意见后，报国务院水行政主管部门批准。国务院水行政主管部门批准前，应当征求国务院交通行政主管部门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长江采砂规划一经批准，必须严格执行；确需修改时，应当依照前款规定批准。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长江采砂规划批准实施前，长江水利委员会可以会同沿江省、直辖市人民政府水行政主管部门、长江航务管理局和长江海事机构确定禁采区和禁采期，报国务院水行政主管部门批准。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长江采砂规划应当充分考虑长江防洪安全和通航安全的要求，符合长江流域综合规划和长江防洪、河道整治以及航道整治等专业规划。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长江采砂规划应当包括下列内容：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(一)禁采区和可采区；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(二)禁采期和可采期；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(三)年度采砂控制总量；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(四)可采区内采砂船只的控制数量。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沿江省、直辖市人民政府水行政主管部门根据长江采砂规划，可以拟订本行政区域内长江采砂规划实施方案，报本级人民政府批准后实施，并报长江水利委员会、长江航务管理局备案。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沿江省、直辖市人民政府应当将长江采砂规划确定的禁采区和禁采期予以公告。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江省、直辖市人民政府水行政主管部门可以根据本行政区域内长江的水情、工情、汛情、航道变迁和管理等需要，在长江采砂规划确定的禁采区、禁采期外增加禁采范围、延长禁采期限，报本级人民政府决定后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长江水利委员会和沿江省、直辖市人民政府水行政主管部门应当加强对长江采砂规划实施情况的监督检查。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国家对长江采砂实行采砂许可制度。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道采砂许可证由沿江省、直辖市人民政府水行政主管部门审批发放；属于省际边界重点河段的，经有关省、直辖市人民政府水行政主管部门签署意见后，由长江水利委员会审批发放；涉及航道的，审批发放前应当征求长江航务管理局和长江海事机构的意见。省际边界重点河段的范围由国务院水行政主管部门划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河道采砂许可证式样由国务院水行政主管部门规定，由沿江省、直辖市人民政府水行政主管部门和长江水利委员会印制。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从事长江采砂活动的单位和个人应当向沿江市、县人民政府水行政主管部门提出申请；符合下列条件的，由长江水利委员会或者沿江省、直辖市人民政府水行政主管部门依照本条例第九条的规定，审批发放河道采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(一)符合长江采砂规划确定的可采区和可采期的要求；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(二)符合年度采砂控制总量的要求；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(三)符合规定的作业方式；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(四)符合采砂船只数量的控制要求；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(五)采砂船舶、船员证书齐全；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(六)有符合要求的采砂设备和采砂技术人员；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(七)长江水利委员会或者沿江省、直辖市人民政府水行政主管部门规定的其他条件。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人民政府水行政主管部门应当自收到申请之日起10日内签署意见后，报送沿江省、直辖市人民政府水行政主管部门审批；属于省际边界重点河段的，经有关省、直辖市人民政府水行政主管部门签署意见后，报送长江水利委员会审批。长江水利委员会或者沿江省、直辖市人民政府水行政主管部门应当自收到申请之日起30日内予以审批；不予批准的，应当在作出不予批准决定之日起7日内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河道采砂许可证应当载明船主姓名(名称)、船名、船号和开采的性质、种类、地点、时限以及作业方式、弃料处理方式、许可证的有效期限等有关事项和内容。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从事长江采砂活动的单位和个人应当按照河道采砂许可证的规定进行开采。有关县级以上地方人民政府水行政主管部门和长江水利委员会应当按照职责划分对其加强监督检查。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从事长江采砂活动的单位和个人需要改变河道采砂许可证规定的事项和内容的，应当重新办理河道采砂许可证。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禁止伪造、涂改或者买卖、出租、出借或者以其他方式转让河道采砂许可证。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为保障航道畅通和航行安全，采砂作业应当服从通航要求，并设立明显标志。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长江水利委员会和沿江省、直辖市人民政府水行政主管部门年审批采砂总量不得超过规划确定的年度采砂控制总量。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沿江省、直辖市人民政府水行政主管部门应当在每年1月31日前将上一年度的长江采砂审批发证情况和实施情况，报长江水利委员会备案。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沿江县级以上地方人民政府水行政主管部门因整修长江堤防进行吹填固基或者整治长江河道采砂的，应当经本省、直辖市人民政府水行政主管部门审查，并报长江水利委员会批准；长江航务管理局因整治长江航道采砂的，应当事先征求长江水利委员会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因吹填造地从事采砂活动的单位和个人，应当依法申请河道采砂许可证。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除按照河道采砂许可证规定的期限在可采区作业外，采砂船舶应当集中停放在沿江县级人民政府指定的地点，并由采砂船舶所有者或者使用者负责管护。无正当理由，不得擅自离开指定的地点。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禁止运输、收购、销售未取得河道采砂许可证的单位、个人开采的长江河道砂石。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水利委员会应当会同沿江省、直辖市人民政府水行政主管部门及有关部门、长江航务管理局、长江海事机构等单位建立统一的长江河道采砂管理信息平台，推进实施长江河道砂石开采、运输、收购、销售全过程追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违反本条例规定，未办理河道采砂许可证，擅自在长江采砂的，由县级以上地方人民政府水行政主管部门或者长江水利委员会依据职权，责令停止违法行为，没收违法开采的砂石和违法所得以及采砂船舶和挖掘机械等作业设备、工具，并处违法开采的砂石货值金额2倍以上20倍以下的罚款；货值金额不足10万元的，并处20万元以上200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违反本条例规定，采砂单位、个人未按照河道采砂许可证规定的要求采砂的，由县级以上地方人民政府水行政主管部门或者长江水利委员会依据职权，责令停止违法行为，没收违法开采的砂石和违法所得，并处违法开采的砂石货值金额1倍以上2倍以下的罚款；情节严重或者在禁采区、禁采期采砂的，没收违法开采的砂石和违法所得以及采砂船舶和挖掘机械等作业设备、工具，吊销河道采砂许可证，并处违法开采的砂石货值金额2倍以上20倍以下的罚款，货值金额不足10万元的，并处20万元以上200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违反本条例规定，运输、收购、销售未取得河道采砂许可证的单位、个人开采的长江河道砂石的，由县级以上地方人民政府水行政主管部门、长江水利委员会、有关海事管理机构以及县级以上地方人民政府其他有关部门依据职权，责令停止违法行为，没收违法运输、收购、销售的砂石和违法所得，并处2万元以上20万元以下的罚款；情节严重的，并处20万元以上200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违反本条例规定，采砂船舶未在指定地点集中停放或者无正当理由擅自离开指定地点的，由县级以上地方人民政府水行政主管部门责令停靠在指定地点，处3万元以上10万元以下的罚款；拒不改正的，予以强行转移至指定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伪造、变造、转让、出租、出借河道采砂许可证，由县级以上地方人民政府水行政主管部门或者长江水利委员会依据职权予以吊销或者收缴，没收违法所得，并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在长江航道内非法采砂影响通航安全的，由长江航务管理局、长江海事机构依照《中华人民共和国内河交通安全管理条例》和《中华人民共和国航道管理条例》等规定给予处罚。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依照本条例规定应当给予行政处罚，而有关水行政主管部门不给予行政处罚的，由上级人民政府水行政主管部门责令其作出行政处罚决定或者直接给予行政处罚；对负有责任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依照本条例实施罚款的行政处罚，应当依照有关法律、行政法规的规定，实行罚款决定与罚款收缴分离，所收取的罚款必须全部上缴国库。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有下列行为之一，对负有责任的主管人员和其他直接责任人员依法给予处分；构成犯罪的，依法追究刑事责任：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一)不执行已批准的长江采砂规划、擅自修改长江采砂规划或者违反长江采砂规划组织采砂的；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二)不按照规定审批发放河道采砂许可证或者其他批准文件的；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三)不履行本条例规定的监督检查职责，造成长江采砂秩序混乱或者造成重大责任事故的。</w:t>
      </w:r>
    </w:p>
    <w:p>
      <w:pPr>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本条例自2002年1月1日起施行。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277F51"/>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32501B"/>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3758</Words>
  <Characters>3792</Characters>
  <Lines>69</Lines>
  <Paragraphs>19</Paragraphs>
  <TotalTime>0</TotalTime>
  <ScaleCrop>false</ScaleCrop>
  <LinksUpToDate>false</LinksUpToDate>
  <CharactersWithSpaces>3820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2023-08-22T12:28:57Z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