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jc w:val="center"/>
        <w:rPr>
          <w:rFonts w:hint="eastAsia" w:ascii="Times New Roman" w:hAnsi="Times New Roman" w:cs="Times New Roman"/>
          <w:sz w:val="44"/>
          <w:szCs w:val="44"/>
        </w:rPr>
      </w:pPr>
    </w:p>
    <w:p>
      <w:pPr>
        <w:pStyle w:val="2"/>
        <w:jc w:val="center"/>
        <w:rPr>
          <w:rFonts w:ascii="Times New Roman" w:hAnsi="Times New Roman" w:cs="Times New Roman"/>
          <w:sz w:val="44"/>
          <w:szCs w:val="44"/>
        </w:rPr>
      </w:pPr>
      <w:r>
        <w:rPr>
          <w:rFonts w:ascii="Times New Roman" w:hAnsi="Times New Roman" w:cs="Times New Roman"/>
          <w:sz w:val="44"/>
          <w:szCs w:val="44"/>
        </w:rPr>
        <w:t>指导外商投资方向规定</w:t>
      </w:r>
    </w:p>
    <w:p>
      <w:pPr>
        <w:pStyle w:val="2"/>
        <w:ind w:firstLine="640" w:firstLineChars="200"/>
        <w:rPr>
          <w:rFonts w:hint="eastAsia" w:ascii="Times New Roman" w:hAnsi="Times New Roman" w:eastAsia="楷体_GB2312" w:cs="Times New Roman"/>
          <w:sz w:val="32"/>
          <w:szCs w:val="32"/>
        </w:rPr>
      </w:pPr>
    </w:p>
    <w:p>
      <w:pPr>
        <w:pStyle w:val="2"/>
        <w:ind w:firstLine="640" w:firstLineChars="200"/>
        <w:jc w:val="left"/>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(2002年2月11日中华人民共和国国务院令第346号公布　自2002年4月1日起施行)</w:t>
      </w:r>
    </w:p>
    <w:p>
      <w:pPr>
        <w:pStyle w:val="2"/>
        <w:ind w:firstLine="640" w:firstLineChars="200"/>
        <w:rPr>
          <w:rFonts w:ascii="Times New Roman" w:hAnsi="Times New Roman" w:cs="Times New Roman"/>
          <w:sz w:val="32"/>
          <w:szCs w:val="32"/>
        </w:rPr>
      </w:pPr>
      <w:bookmarkStart w:id="0" w:name="_GoBack"/>
      <w:bookmarkEnd w:id="0"/>
    </w:p>
    <w:p>
      <w:pPr>
        <w:pStyle w:val="2"/>
        <w:keepNext w:val="0"/>
        <w:keepLines w:val="0"/>
        <w:pageBreakBefore w:val="0"/>
        <w:widowControl/>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为了指导外商投资方向，使外商投资方向与我国国民经济和社会发展规划相适应，并有利于保护投资者的合法权益，根据国家有关外商投资的法律规定和产业政策要求，制定本规定。</w:t>
      </w:r>
    </w:p>
    <w:p>
      <w:pPr>
        <w:pStyle w:val="2"/>
        <w:keepNext w:val="0"/>
        <w:keepLines w:val="0"/>
        <w:pageBreakBefore w:val="0"/>
        <w:widowControl/>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本规定适用于在我国境内投资举办中外合资经营企业、中外合作经营企业和外资企业(以下简称外商投资企业)的项目以及其他形式的外商投资项目(以下简称外商投资项目)。</w:t>
      </w:r>
    </w:p>
    <w:p>
      <w:pPr>
        <w:pStyle w:val="2"/>
        <w:keepNext w:val="0"/>
        <w:keepLines w:val="0"/>
        <w:pageBreakBefore w:val="0"/>
        <w:widowControl/>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外商投资产业指导目录》和《中西部地区外商投资优势产业目录》由国家发展计划委员会、国家经济贸易委员会、对外贸易经济合作部会同国务院有关部门制订，经国务院批准后公布；根据实际情况，需要对《外商投资产业指导目录》和《中西部地区外商投资优势产业目录》进行部分调整时，由国家经济贸易委员会、国家发展计划委员会、对外贸易经济合作部会同国务院有关部门适时修订并公布。</w:t>
      </w:r>
    </w:p>
    <w:p>
      <w:pPr>
        <w:pStyle w:val="2"/>
        <w:keepNext w:val="0"/>
        <w:keepLines w:val="0"/>
        <w:pageBreakBefore w:val="0"/>
        <w:widowControl/>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《外商投资产业指导目录》和《中西部地区外商投资优势产业目录》是指导审批外商投资项目和外商投资企业适用有关政策的依据。</w:t>
      </w:r>
    </w:p>
    <w:p>
      <w:pPr>
        <w:pStyle w:val="2"/>
        <w:keepNext w:val="0"/>
        <w:keepLines w:val="0"/>
        <w:pageBreakBefore w:val="0"/>
        <w:widowControl/>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外商投资项目分为鼓励、允许、限制和禁止四类。</w:t>
      </w:r>
    </w:p>
    <w:p>
      <w:pPr>
        <w:pStyle w:val="2"/>
        <w:keepNext w:val="0"/>
        <w:keepLines w:val="0"/>
        <w:pageBreakBefore w:val="0"/>
        <w:widowControl/>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鼓励类、限制类和禁止类的外商投资项目，列入《外商投资产业指导目录》。不属于鼓励类、限制类和禁止类的外商投资项目，为允许类外商投资项目。允许类外商投资项目不列入《外商投资产业指导目录》。</w:t>
      </w:r>
    </w:p>
    <w:p>
      <w:pPr>
        <w:pStyle w:val="2"/>
        <w:keepNext w:val="0"/>
        <w:keepLines w:val="0"/>
        <w:pageBreakBefore w:val="0"/>
        <w:widowControl/>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属于下列情形之一的，列为鼓励类外商投资项目：</w:t>
      </w:r>
    </w:p>
    <w:p>
      <w:pPr>
        <w:pStyle w:val="2"/>
        <w:keepNext w:val="0"/>
        <w:keepLines w:val="0"/>
        <w:pageBreakBefore w:val="0"/>
        <w:widowControl/>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(一)属于农业新技术、农业综合开发和能源、交通、重要原材料工业的；</w:t>
      </w:r>
    </w:p>
    <w:p>
      <w:pPr>
        <w:pStyle w:val="2"/>
        <w:keepNext w:val="0"/>
        <w:keepLines w:val="0"/>
        <w:pageBreakBefore w:val="0"/>
        <w:widowControl/>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(二)属于高新技术、先进适用技术，能够改进产品性能、提高企业技术经济效益或者生产国内生产能力不足的新设备、新材料的；</w:t>
      </w:r>
    </w:p>
    <w:p>
      <w:pPr>
        <w:pStyle w:val="2"/>
        <w:keepNext w:val="0"/>
        <w:keepLines w:val="0"/>
        <w:pageBreakBefore w:val="0"/>
        <w:widowControl/>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(三)适应市场需求，能够提高产品档次、开拓新兴市场或者增加产品国际竞争能力的；</w:t>
      </w:r>
    </w:p>
    <w:p>
      <w:pPr>
        <w:pStyle w:val="2"/>
        <w:keepNext w:val="0"/>
        <w:keepLines w:val="0"/>
        <w:pageBreakBefore w:val="0"/>
        <w:widowControl/>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(四)属于新技术、新设备，能够节约能源和原材料、综合利用资源和再生资源以及防治环境污染的；</w:t>
      </w:r>
    </w:p>
    <w:p>
      <w:pPr>
        <w:pStyle w:val="2"/>
        <w:keepNext w:val="0"/>
        <w:keepLines w:val="0"/>
        <w:pageBreakBefore w:val="0"/>
        <w:widowControl/>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(五)能够发挥中西部地区的人力和资源优势，并符合国家产业政策的；</w:t>
      </w:r>
    </w:p>
    <w:p>
      <w:pPr>
        <w:pStyle w:val="2"/>
        <w:keepNext w:val="0"/>
        <w:keepLines w:val="0"/>
        <w:pageBreakBefore w:val="0"/>
        <w:widowControl/>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(六)法律、行政法规规定的其他情形。</w:t>
      </w:r>
    </w:p>
    <w:p>
      <w:pPr>
        <w:pStyle w:val="2"/>
        <w:keepNext w:val="0"/>
        <w:keepLines w:val="0"/>
        <w:pageBreakBefore w:val="0"/>
        <w:widowControl/>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属于下列情形之一的，列为限制类外商投资项目：</w:t>
      </w:r>
    </w:p>
    <w:p>
      <w:pPr>
        <w:pStyle w:val="2"/>
        <w:keepNext w:val="0"/>
        <w:keepLines w:val="0"/>
        <w:pageBreakBefore w:val="0"/>
        <w:widowControl/>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(一)技术水平落后的；</w:t>
      </w:r>
    </w:p>
    <w:p>
      <w:pPr>
        <w:pStyle w:val="2"/>
        <w:keepNext w:val="0"/>
        <w:keepLines w:val="0"/>
        <w:pageBreakBefore w:val="0"/>
        <w:widowControl/>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(二)不利于节约资源和改善生态环境的；</w:t>
      </w:r>
    </w:p>
    <w:p>
      <w:pPr>
        <w:pStyle w:val="2"/>
        <w:keepNext w:val="0"/>
        <w:keepLines w:val="0"/>
        <w:pageBreakBefore w:val="0"/>
        <w:widowControl/>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(三)从事国家规定实行保护性开采的特定矿种勘探、开采的；</w:t>
      </w:r>
    </w:p>
    <w:p>
      <w:pPr>
        <w:pStyle w:val="2"/>
        <w:keepNext w:val="0"/>
        <w:keepLines w:val="0"/>
        <w:pageBreakBefore w:val="0"/>
        <w:widowControl/>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(四)属于国家逐步开放的产业的；</w:t>
      </w:r>
    </w:p>
    <w:p>
      <w:pPr>
        <w:pStyle w:val="2"/>
        <w:keepNext w:val="0"/>
        <w:keepLines w:val="0"/>
        <w:pageBreakBefore w:val="0"/>
        <w:widowControl/>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(五)法律、行政法规规定的其他情形。</w:t>
      </w:r>
    </w:p>
    <w:p>
      <w:pPr>
        <w:pStyle w:val="2"/>
        <w:keepNext w:val="0"/>
        <w:keepLines w:val="0"/>
        <w:pageBreakBefore w:val="0"/>
        <w:widowControl/>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属于下列情形之一的，列为禁止类外商投资项目：</w:t>
      </w:r>
    </w:p>
    <w:p>
      <w:pPr>
        <w:pStyle w:val="2"/>
        <w:keepNext w:val="0"/>
        <w:keepLines w:val="0"/>
        <w:pageBreakBefore w:val="0"/>
        <w:widowControl/>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(一)危害国家安全或者损害社会公共利益的；</w:t>
      </w:r>
    </w:p>
    <w:p>
      <w:pPr>
        <w:pStyle w:val="2"/>
        <w:keepNext w:val="0"/>
        <w:keepLines w:val="0"/>
        <w:pageBreakBefore w:val="0"/>
        <w:widowControl/>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(二)对环境造成污染损害，破坏自然资源或者损害人体健康的；</w:t>
      </w:r>
    </w:p>
    <w:p>
      <w:pPr>
        <w:pStyle w:val="2"/>
        <w:keepNext w:val="0"/>
        <w:keepLines w:val="0"/>
        <w:pageBreakBefore w:val="0"/>
        <w:widowControl/>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(三)占用大量耕地，不利于保护、开发土地资源的；</w:t>
      </w:r>
    </w:p>
    <w:p>
      <w:pPr>
        <w:pStyle w:val="2"/>
        <w:keepNext w:val="0"/>
        <w:keepLines w:val="0"/>
        <w:pageBreakBefore w:val="0"/>
        <w:widowControl/>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(四)危害军事设施安全和使用效能的；</w:t>
      </w:r>
    </w:p>
    <w:p>
      <w:pPr>
        <w:pStyle w:val="2"/>
        <w:keepNext w:val="0"/>
        <w:keepLines w:val="0"/>
        <w:pageBreakBefore w:val="0"/>
        <w:widowControl/>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(五)运用我国特有工艺或者技术生产产品的；</w:t>
      </w:r>
    </w:p>
    <w:p>
      <w:pPr>
        <w:pStyle w:val="2"/>
        <w:keepNext w:val="0"/>
        <w:keepLines w:val="0"/>
        <w:pageBreakBefore w:val="0"/>
        <w:widowControl/>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(六)法律、行政法规规定的其他情形。</w:t>
      </w:r>
    </w:p>
    <w:p>
      <w:pPr>
        <w:pStyle w:val="2"/>
        <w:keepNext w:val="0"/>
        <w:keepLines w:val="0"/>
        <w:pageBreakBefore w:val="0"/>
        <w:widowControl/>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《外商投资产业指导目录》可以对外商投资项目规定</w:t>
      </w:r>
      <w:r>
        <w:rPr>
          <w:rFonts w:hAnsi="宋体" w:cs="Times New Roman"/>
          <w:sz w:val="32"/>
          <w:szCs w:val="32"/>
        </w:rPr>
        <w:t>“</w:t>
      </w:r>
      <w:r>
        <w:rPr>
          <w:rFonts w:ascii="Times New Roman" w:hAnsi="Times New Roman" w:eastAsia="仿宋_GB2312" w:cs="Times New Roman"/>
          <w:sz w:val="32"/>
          <w:szCs w:val="32"/>
        </w:rPr>
        <w:t>限于合资、合作</w:t>
      </w:r>
      <w:r>
        <w:rPr>
          <w:rFonts w:hAnsi="宋体" w:cs="Times New Roman"/>
          <w:sz w:val="32"/>
          <w:szCs w:val="32"/>
        </w:rPr>
        <w:t>”</w:t>
      </w:r>
      <w:r>
        <w:rPr>
          <w:rFonts w:ascii="Times New Roman" w:hAnsi="Times New Roman" w:eastAsia="仿宋_GB2312" w:cs="Times New Roman"/>
          <w:sz w:val="32"/>
          <w:szCs w:val="32"/>
        </w:rPr>
        <w:t>、</w:t>
      </w:r>
      <w:r>
        <w:rPr>
          <w:rFonts w:hAnsi="宋体" w:cs="Times New Roman"/>
          <w:sz w:val="32"/>
          <w:szCs w:val="32"/>
        </w:rPr>
        <w:t>“</w:t>
      </w:r>
      <w:r>
        <w:rPr>
          <w:rFonts w:ascii="Times New Roman" w:hAnsi="Times New Roman" w:eastAsia="仿宋_GB2312" w:cs="Times New Roman"/>
          <w:sz w:val="32"/>
          <w:szCs w:val="32"/>
        </w:rPr>
        <w:t>中方控股</w:t>
      </w:r>
      <w:r>
        <w:rPr>
          <w:rFonts w:hAnsi="宋体" w:cs="Times New Roman"/>
          <w:sz w:val="32"/>
          <w:szCs w:val="32"/>
        </w:rPr>
        <w:t>”</w:t>
      </w:r>
      <w:r>
        <w:rPr>
          <w:rFonts w:ascii="Times New Roman" w:hAnsi="Times New Roman" w:eastAsia="仿宋_GB2312" w:cs="Times New Roman"/>
          <w:sz w:val="32"/>
          <w:szCs w:val="32"/>
        </w:rPr>
        <w:t>或者</w:t>
      </w:r>
      <w:r>
        <w:rPr>
          <w:rFonts w:hAnsi="宋体" w:cs="Times New Roman"/>
          <w:sz w:val="32"/>
          <w:szCs w:val="32"/>
        </w:rPr>
        <w:t>“</w:t>
      </w:r>
      <w:r>
        <w:rPr>
          <w:rFonts w:ascii="Times New Roman" w:hAnsi="Times New Roman" w:eastAsia="仿宋_GB2312" w:cs="Times New Roman"/>
          <w:sz w:val="32"/>
          <w:szCs w:val="32"/>
        </w:rPr>
        <w:t>中方相对控股</w:t>
      </w:r>
      <w:r>
        <w:rPr>
          <w:rFonts w:hAnsi="宋体" w:cs="Times New Roman"/>
          <w:sz w:val="32"/>
          <w:szCs w:val="32"/>
        </w:rPr>
        <w:t>”</w:t>
      </w:r>
      <w:r>
        <w:rPr>
          <w:rFonts w:ascii="Times New Roman" w:hAnsi="Times New Roman" w:eastAsia="仿宋_GB2312" w:cs="Times New Roman"/>
          <w:sz w:val="32"/>
          <w:szCs w:val="32"/>
        </w:rPr>
        <w:t>。</w:t>
      </w:r>
    </w:p>
    <w:p>
      <w:pPr>
        <w:pStyle w:val="2"/>
        <w:keepNext w:val="0"/>
        <w:keepLines w:val="0"/>
        <w:pageBreakBefore w:val="0"/>
        <w:widowControl/>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限于合资、合作，是指仅允许中外合资经营、中外合作经营；中方控股，是指中方投资者在外商投资项目中的投资比例之和为51%及以上；中方相对控股，是指中方投资者在外商投资项目中的投资比例之和大于任何一方外国投资者的投资比例。</w:t>
      </w:r>
    </w:p>
    <w:p>
      <w:pPr>
        <w:pStyle w:val="2"/>
        <w:keepNext w:val="0"/>
        <w:keepLines w:val="0"/>
        <w:pageBreakBefore w:val="0"/>
        <w:widowControl/>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鼓励类外商投资项目，除依照有关法律、行政法规的规定享受优惠待遇外，从事投资额大、回收期长的能源、交通、城市基础设施(煤炭、石油、天然气、电力、铁路、公路、港口、机场、城市道路、污水处理、垃圾处理等)建设、经营的，经批准，可以扩大与其相关的经营范围。</w:t>
      </w:r>
    </w:p>
    <w:p>
      <w:pPr>
        <w:pStyle w:val="2"/>
        <w:keepNext w:val="0"/>
        <w:keepLines w:val="0"/>
        <w:pageBreakBefore w:val="0"/>
        <w:widowControl/>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产品全部直接出口的允许类外商投资项目，视为鼓励类外商投资项目；产品出口销售额占其产品销售总额70%以上的限制类外商投资项目，经省、自治区、直辖市及计划单列市人民政府或者国务院主管部门批准，可以视为允许类外商投资项目。</w:t>
      </w:r>
    </w:p>
    <w:p>
      <w:pPr>
        <w:pStyle w:val="2"/>
        <w:keepNext w:val="0"/>
        <w:keepLines w:val="0"/>
        <w:pageBreakBefore w:val="0"/>
        <w:widowControl/>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对于确能发挥中西部地区优势的允许类和限制类外商投资项目，可以适当放宽条件；其中，列入《中西部地区外商投资优势产业目录》的，可以享受鼓励类外商投资项目优惠政策。</w:t>
      </w:r>
    </w:p>
    <w:p>
      <w:pPr>
        <w:pStyle w:val="2"/>
        <w:keepNext w:val="0"/>
        <w:keepLines w:val="0"/>
        <w:pageBreakBefore w:val="0"/>
        <w:widowControl/>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根据现行审批权限，外商投资项目按照项目性质分别由发展计划部门和经贸部门审批、备案；外商投资企业的合同、章程由外经贸部门审批、备案。其中，限制类限额以下的外商投资项目由省、自治区、直辖市及计划单列市人民政府的相应主管部门审批，同时报上级主管部门和行业主管部门备案，此类项目的审批权不得下放。属于服务贸易领域逐步开放的外商投资项目，按照国家有关规定审批。</w:t>
      </w:r>
    </w:p>
    <w:p>
      <w:pPr>
        <w:pStyle w:val="2"/>
        <w:keepNext w:val="0"/>
        <w:keepLines w:val="0"/>
        <w:pageBreakBefore w:val="0"/>
        <w:widowControl/>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涉及配额、许可证的外商投资项目，须先向外经贸部门申请配额、许可证。</w:t>
      </w:r>
    </w:p>
    <w:p>
      <w:pPr>
        <w:pStyle w:val="2"/>
        <w:keepNext w:val="0"/>
        <w:keepLines w:val="0"/>
        <w:pageBreakBefore w:val="0"/>
        <w:widowControl/>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法律、行政法规对外商投资项目的审批程序和办法另有规定的，依照其规定。</w:t>
      </w:r>
    </w:p>
    <w:p>
      <w:pPr>
        <w:pStyle w:val="2"/>
        <w:keepNext w:val="0"/>
        <w:keepLines w:val="0"/>
        <w:pageBreakBefore w:val="0"/>
        <w:widowControl/>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对违反本规定审批的外商投资项目，上级审批机关应当自收到该项目的备案文件之日起30个工作日内予以撤销，其合同、章程无效，企业登记机关不予注册登记，海关不予办理进出口手续。</w:t>
      </w:r>
    </w:p>
    <w:p>
      <w:pPr>
        <w:pStyle w:val="2"/>
        <w:keepNext w:val="0"/>
        <w:keepLines w:val="0"/>
        <w:pageBreakBefore w:val="0"/>
        <w:widowControl/>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外商投资项目申请人以欺骗等不正当手段，骗取项目批准的，根据情节轻重，依法追究法律责任；审批机关应当撤销对该项目的批准，并由有关主管机关依法作出相应的处理。</w:t>
      </w:r>
    </w:p>
    <w:p>
      <w:pPr>
        <w:pStyle w:val="2"/>
        <w:keepNext w:val="0"/>
        <w:keepLines w:val="0"/>
        <w:pageBreakBefore w:val="0"/>
        <w:widowControl/>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审批机关工作人员滥用职权、玩忽职守的，依照刑法关于滥用职权罪、玩忽职守罪的规定，依法追究刑事责任；尚不够刑事处罚的，依法给予记大过以上的行政处分。</w:t>
      </w:r>
    </w:p>
    <w:p>
      <w:pPr>
        <w:pStyle w:val="2"/>
        <w:keepNext w:val="0"/>
        <w:keepLines w:val="0"/>
        <w:pageBreakBefore w:val="0"/>
        <w:widowControl/>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华侨和香港特别行政区、澳门特别行政区、台湾地区的投资者举办的投资项目，比照本规定执行。</w:t>
      </w:r>
    </w:p>
    <w:p>
      <w:pPr>
        <w:keepNext w:val="0"/>
        <w:keepLines w:val="0"/>
        <w:pageBreakBefore w:val="0"/>
        <w:widowControl/>
        <w:kinsoku/>
        <w:wordWrap/>
        <w:overflowPunct/>
        <w:topLinePunct w:val="0"/>
        <w:autoSpaceDE/>
        <w:autoSpaceDN/>
        <w:bidi w:val="0"/>
        <w:adjustRightInd/>
        <w:snapToGrid/>
        <w:ind w:firstLine="640" w:firstLineChars="200"/>
        <w:textAlignment w:val="auto"/>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本规定自2002年4月1日起施行。1995年6月7日国务院批准，1995年6月20日国家计划委员会、国家经济贸易委员会、对外贸易经济合作部发布的《指导外商投资方向暂行规定》同时废止。</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_GB2312">
    <w:altName w:val="楷体"/>
    <w:panose1 w:val="02010609030101010101"/>
    <w:charset w:val="86"/>
    <w:family w:val="modern"/>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Calibri Light">
    <w:panose1 w:val="020F0302020204030204"/>
    <w:charset w:val="00"/>
    <w:family w:val="swiss"/>
    <w:pitch w:val="default"/>
    <w:sig w:usb0="E4002EFF" w:usb1="C000247B" w:usb2="00000009" w:usb3="00000000" w:csb0="200001FF" w:csb1="00000000"/>
  </w:font>
  <w:font w:name="方正黑体_GBK">
    <w:altName w:val="Arial Unicode MS"/>
    <w:panose1 w:val="03000509000000000000"/>
    <w:charset w:val="86"/>
    <w:family w:val="script"/>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3"/>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ZGQ1YTVkOTVhMDk0ZmUyYjUyNThkZWY3MzZlOWY1YmMifQ=="/>
  </w:docVars>
  <w:rsids>
    <w:rsidRoot w:val="0B2E0EF6"/>
    <w:rsid w:val="00572CEA"/>
    <w:rsid w:val="00CE2E17"/>
    <w:rsid w:val="00D82811"/>
    <w:rsid w:val="0123724F"/>
    <w:rsid w:val="0B2E0EF6"/>
    <w:rsid w:val="18BC6037"/>
    <w:rsid w:val="3C233197"/>
    <w:rsid w:val="4CCE170B"/>
    <w:rsid w:val="4E49311B"/>
    <w:rsid w:val="501F52EF"/>
    <w:rsid w:val="595347AB"/>
    <w:rsid w:val="7810388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Plain Text"/>
    <w:basedOn w:val="1"/>
    <w:unhideWhenUsed/>
    <w:qFormat/>
    <w:uiPriority w:val="99"/>
    <w:rPr>
      <w:rFonts w:ascii="宋体" w:hAnsi="Courier New" w:eastAsia="宋体" w:cs="Courier New"/>
      <w:szCs w:val="21"/>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2186</Words>
  <Characters>2211</Characters>
  <Lines>16</Lines>
  <Paragraphs>4</Paragraphs>
  <TotalTime>3</TotalTime>
  <ScaleCrop>false</ScaleCrop>
  <LinksUpToDate>false</LinksUpToDate>
  <CharactersWithSpaces>2229</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2019-05-22T15:54:00Z</dcterms:created>
  <dc:creator>Administrator</dc:creator>
  <cp:lastModifiedBy>阿拉灯神丁</cp:lastModifiedBy>
  <cp:lastPrinted>2019-05-25T09:28:00Z</cp:lastPrinted>
  <dcterms:modified xsi:type="dcterms:W3CDTF">2023-05-25T02:40:13Z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B4EF766269DF4C41A436FBAC454F2CED</vt:lpwstr>
  </property>
</Properties>
</file>