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DEA66" w14:textId="77777777" w:rsidR="00DC0FE3" w:rsidRDefault="00DC0FE3">
      <w:pPr>
        <w:pStyle w:val="a3"/>
        <w:jc w:val="center"/>
        <w:rPr>
          <w:rFonts w:ascii="Times New Roman" w:hAnsi="Times New Roman" w:cs="Times New Roman"/>
          <w:sz w:val="44"/>
          <w:szCs w:val="44"/>
        </w:rPr>
      </w:pPr>
    </w:p>
    <w:p w14:paraId="1AD6068D" w14:textId="77777777" w:rsidR="00DC0FE3" w:rsidRDefault="00000000">
      <w:pPr>
        <w:pStyle w:val="a3"/>
        <w:jc w:val="center"/>
        <w:rPr>
          <w:rFonts w:ascii="Times New Roman" w:hAnsi="Times New Roman" w:cs="Times New Roman"/>
          <w:sz w:val="44"/>
          <w:szCs w:val="44"/>
        </w:rPr>
      </w:pPr>
      <w:r>
        <w:rPr>
          <w:rFonts w:ascii="Times New Roman" w:hAnsi="Times New Roman" w:cs="Times New Roman"/>
          <w:sz w:val="44"/>
          <w:szCs w:val="44"/>
        </w:rPr>
        <w:t>全国社会保障基金条例</w:t>
      </w:r>
    </w:p>
    <w:p w14:paraId="1FC60B3E" w14:textId="77777777" w:rsidR="00DC0FE3" w:rsidRDefault="00DC0FE3">
      <w:pPr>
        <w:pStyle w:val="a3"/>
        <w:ind w:firstLineChars="200" w:firstLine="640"/>
        <w:rPr>
          <w:rFonts w:ascii="方正楷体_GBK" w:eastAsia="方正楷体_GBK" w:hAnsi="方正楷体_GBK" w:cs="方正楷体_GBK"/>
          <w:sz w:val="32"/>
          <w:szCs w:val="32"/>
        </w:rPr>
      </w:pPr>
    </w:p>
    <w:p w14:paraId="0BAA0FF6" w14:textId="77777777" w:rsidR="00DC0FE3" w:rsidRDefault="00000000">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(2016年2月3日国务院第122次常务会议通过　2016年3月10日中华人民共和国国务院令第667号公布　自2016年5月1日起施行)</w:t>
      </w:r>
    </w:p>
    <w:p w14:paraId="1632F9F5" w14:textId="77777777" w:rsidR="00DC0FE3" w:rsidRDefault="00000000">
      <w:pPr>
        <w:pStyle w:val="2"/>
        <w:rPr>
          <w:rFonts w:ascii="方正黑体_GBK"/>
        </w:rPr>
      </w:pPr>
      <w:r>
        <w:rPr>
          <w:rFonts w:ascii="方正黑体_GBK" w:hAnsi="Times New Roman" w:cs="Times New Roman" w:hint="eastAsia"/>
        </w:rPr>
        <w:t>第一章　总则</w:t>
      </w:r>
    </w:p>
    <w:p w14:paraId="3CABD836"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z w:val="32"/>
          <w:szCs w:val="32"/>
        </w:rPr>
        <w:t>为了规范全国社会保障基金的管理运营，加强对全国社会保障基金的监督，在保证安全的前提下实现保值增值，根据《中华人民共和国社会保险法》，制定本条例。</w:t>
      </w:r>
    </w:p>
    <w:p w14:paraId="27926FE7"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国家设立全国社会保障基金。</w:t>
      </w:r>
    </w:p>
    <w:p w14:paraId="37DBB40E"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全国社会保障基金由中央财政预算拨款、国有资本划转、基金投资收益和以国务院批准的其他方式筹集的资金构成。</w:t>
      </w:r>
    </w:p>
    <w:p w14:paraId="02974D57"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全国社会保障基金是国家社会保障储备基金，用于人口老龄化高峰时期的养老保险等社会保障支出的补充、调剂。</w:t>
      </w:r>
    </w:p>
    <w:p w14:paraId="017EA454"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国家根据人口老龄化趋势和经济社会发展状况，确定和调整全国社会保障基金规模。</w:t>
      </w:r>
    </w:p>
    <w:p w14:paraId="7272D3F3"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全国社会保障基金的筹集和使用方案，由国务院确定。</w:t>
      </w:r>
    </w:p>
    <w:p w14:paraId="3A3A1346"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国务院财政部门、国务院社会保险行政部门负责拟订全国社会保障基金的管理运营办法，报国务院批准后</w:t>
      </w:r>
      <w:r>
        <w:rPr>
          <w:rFonts w:ascii="Times New Roman" w:eastAsia="仿宋_GB2312" w:hAnsi="Times New Roman" w:cs="Times New Roman"/>
          <w:sz w:val="32"/>
          <w:szCs w:val="32"/>
        </w:rPr>
        <w:lastRenderedPageBreak/>
        <w:t>施行。</w:t>
      </w:r>
    </w:p>
    <w:p w14:paraId="610230C8"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全国社会保障基金理事会负责全国社会保障基金的管理运营。</w:t>
      </w:r>
    </w:p>
    <w:p w14:paraId="2C164605" w14:textId="77777777" w:rsidR="00DC0FE3" w:rsidRDefault="00000000">
      <w:pPr>
        <w:pStyle w:val="2"/>
        <w:rPr>
          <w:rFonts w:ascii="方正黑体_GBK"/>
        </w:rPr>
      </w:pPr>
      <w:r>
        <w:rPr>
          <w:rFonts w:ascii="方正黑体_GBK" w:hAnsi="Times New Roman" w:cs="Times New Roman" w:hint="eastAsia"/>
        </w:rPr>
        <w:t>第二章　全国社会保障基金的管理运营</w:t>
      </w:r>
    </w:p>
    <w:p w14:paraId="6D88EDBA"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全国社会保障基金理事会应当审慎、稳健管理运营全国社会保障基金，按照国务院批准的比例在境内外市场投资运营全国社会保障基金。</w:t>
      </w:r>
    </w:p>
    <w:p w14:paraId="3914F673" w14:textId="46D9EC22"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全国社会保障基金理事会投资运营全国社会保障基金，应当坚持安全性、收益性和长期性原则，在国务院批准的固定收益类、股票类和未上市股权类等资产种类及其比例幅度内合理配置资产。</w:t>
      </w:r>
    </w:p>
    <w:p w14:paraId="743F799C"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全国社会保障基金理事会制定全国社会保障基金的资产配置计划、确定重大投资项目，应当进行风险评估，并集体讨论决定。</w:t>
      </w:r>
    </w:p>
    <w:p w14:paraId="42293BB9" w14:textId="3144AECB"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社会保障基金理事会应当制定风险管理和内部控制办法，在管理运营的各个环节对风险进行识别、衡量、评估、监测和应对，有效防范和控制风险。风险管理和内部控制办法应当报国务院财政部门、国务院社会保险行政部门备案。</w:t>
      </w:r>
    </w:p>
    <w:p w14:paraId="42E51155" w14:textId="32F25E70"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全国社会保障基金理事会应当依法制定会计核算办法，并报国务院财政部门审核批准。</w:t>
      </w:r>
    </w:p>
    <w:p w14:paraId="68D6BDA6"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 xml:space="preserve">第八条　</w:t>
      </w:r>
      <w:r>
        <w:rPr>
          <w:rFonts w:ascii="Times New Roman" w:eastAsia="仿宋_GB2312" w:hAnsi="Times New Roman" w:cs="Times New Roman"/>
          <w:sz w:val="32"/>
          <w:szCs w:val="32"/>
        </w:rPr>
        <w:t>全国社会保障基金理事会应当定期向国务院财政部门、国务院社会保险行政部门报告全国社会保障基金管理运营情况，提交财务会计报告。</w:t>
      </w:r>
    </w:p>
    <w:p w14:paraId="113665FF"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全国社会保障基金理事会可以将全国社会保障基金委托投资或者以国务院批准的其他方式投资。</w:t>
      </w:r>
    </w:p>
    <w:p w14:paraId="6EF38F32"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全国社会保障基金理事会将全国社会保障基金委托投资的，应当选择符合法定条件的专业投资管理机构、专业托管机构分别担任全国社会保障基金投资管理人、托管人。</w:t>
      </w:r>
    </w:p>
    <w:p w14:paraId="10C96DC6" w14:textId="171DCD7A"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全国社会保障基金理事会应当按照公开、公平、公正的原则选聘投资管理人、托管人，发布选聘信息、组织专家评审、集体讨论决定并公布选聘结果。</w:t>
      </w:r>
    </w:p>
    <w:p w14:paraId="1A84FB1B" w14:textId="6D606C2D"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全国社会保障基金理事会应当制定投资管理人、托管人选聘办法，并报国务院财政部门、国务院社会保险行政部门备案。</w:t>
      </w:r>
    </w:p>
    <w:p w14:paraId="7AA1FACB"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全国社会保障基金理事会应当与聘任的投资管理人、托管人分别签订委托投资合同、托管合同，并报国务院财政部门、国务院社会保险行政部门、国务院外汇管理部门、国务院证券监督管理机构、国务院银行业监督管理机构备案。</w:t>
      </w:r>
    </w:p>
    <w:p w14:paraId="331F4298"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全国社会保障基金理事会应当制定投资管理人、托管人考评办法，根据考评办法对投资管理人投资、</w:t>
      </w:r>
      <w:r>
        <w:rPr>
          <w:rFonts w:ascii="Times New Roman" w:eastAsia="仿宋_GB2312" w:hAnsi="Times New Roman" w:cs="Times New Roman"/>
          <w:sz w:val="32"/>
          <w:szCs w:val="32"/>
        </w:rPr>
        <w:lastRenderedPageBreak/>
        <w:t>托管人保管全国社会保障基金的情况进行考评。考评结果作为是否继续聘任的依据。</w:t>
      </w:r>
    </w:p>
    <w:p w14:paraId="514A9D01"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Times New Roman" w:eastAsia="仿宋_GB2312" w:hAnsi="Times New Roman" w:cs="Times New Roman"/>
          <w:sz w:val="32"/>
          <w:szCs w:val="32"/>
        </w:rPr>
        <w:t>全国社会保障基金投资管理人履行下列职责：</w:t>
      </w:r>
    </w:p>
    <w:p w14:paraId="36761CC2" w14:textId="2722F6A8"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运用全国社会保障基金进行投资；</w:t>
      </w:r>
    </w:p>
    <w:p w14:paraId="6C3A1FCE" w14:textId="035D4BB3"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按照规定提取全国社会保障基金投资管理风险准备金；</w:t>
      </w:r>
    </w:p>
    <w:p w14:paraId="0CE3202B" w14:textId="2D2DBC23"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向全国社会保障基金理事会报告投资情况；</w:t>
      </w:r>
    </w:p>
    <w:p w14:paraId="0055CEB1" w14:textId="4E9767B3"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法律、行政法规和国务院有关部门规章规定的其他职责。</w:t>
      </w:r>
    </w:p>
    <w:p w14:paraId="76E71132"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第十四条　</w:t>
      </w:r>
      <w:r>
        <w:rPr>
          <w:rFonts w:ascii="Times New Roman" w:eastAsia="仿宋_GB2312" w:hAnsi="Times New Roman" w:cs="Times New Roman"/>
          <w:sz w:val="32"/>
          <w:szCs w:val="32"/>
        </w:rPr>
        <w:t>全国社会保障基金托管人履行下列职责：</w:t>
      </w:r>
    </w:p>
    <w:p w14:paraId="198BB483" w14:textId="217227D4"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安全保管全国社会保障基金财产；</w:t>
      </w:r>
    </w:p>
    <w:p w14:paraId="1F98C582" w14:textId="336EB5C6"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按照托管合同的约定，根据全国社会保障基金投资管理人的投资指令，及时办理清算、交割事宜；</w:t>
      </w:r>
    </w:p>
    <w:p w14:paraId="42DDBD61" w14:textId="39404AE4"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按照规定和托管合同的约定，监督全国社会保障基金投资管理人的投资；</w:t>
      </w:r>
    </w:p>
    <w:p w14:paraId="4FB71212" w14:textId="7285DE1F"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执行全国社会保障基金理事会的指令，并报告托管情况；</w:t>
      </w:r>
    </w:p>
    <w:p w14:paraId="3D3D2298" w14:textId="14A74E8A"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法律、行政法规和国务院有关部门规章规定的其他职责。</w:t>
      </w:r>
    </w:p>
    <w:p w14:paraId="6D64E3D4"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Times New Roman" w:eastAsia="仿宋_GB2312" w:hAnsi="Times New Roman" w:cs="Times New Roman"/>
          <w:sz w:val="32"/>
          <w:szCs w:val="32"/>
        </w:rPr>
        <w:t>全国社会保障基金财产应当独立于全国社会保障基金理事会、投资管理人、托管人的固有财产，独立</w:t>
      </w:r>
      <w:r>
        <w:rPr>
          <w:rFonts w:ascii="Times New Roman" w:eastAsia="仿宋_GB2312" w:hAnsi="Times New Roman" w:cs="Times New Roman"/>
          <w:sz w:val="32"/>
          <w:szCs w:val="32"/>
        </w:rPr>
        <w:lastRenderedPageBreak/>
        <w:t>于投资管理人投资和托管人保管的其他财产。</w:t>
      </w:r>
    </w:p>
    <w:p w14:paraId="52852836"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Times New Roman" w:eastAsia="仿宋_GB2312" w:hAnsi="Times New Roman" w:cs="Times New Roman"/>
          <w:sz w:val="32"/>
          <w:szCs w:val="32"/>
        </w:rPr>
        <w:t>全国社会保障基金投资管理人、托管人不得有下列行为：</w:t>
      </w:r>
    </w:p>
    <w:p w14:paraId="5964848B" w14:textId="717CC099"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将全国社会保障基金财产混同于其他财产投资、保管；</w:t>
      </w:r>
    </w:p>
    <w:p w14:paraId="003DBC0A" w14:textId="59F59DD3"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泄露因职务便利获取的全国社会保障基金未公开的信息，利用该信息从事或者明示、暗示他人从事相关交易活动；</w:t>
      </w:r>
    </w:p>
    <w:p w14:paraId="5B63828E" w14:textId="3EB48563"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法律、行政法规和国务院有关部门规章禁止的其他行为。</w:t>
      </w:r>
    </w:p>
    <w:p w14:paraId="139460E6"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Times New Roman" w:eastAsia="仿宋_GB2312" w:hAnsi="Times New Roman" w:cs="Times New Roman"/>
          <w:sz w:val="32"/>
          <w:szCs w:val="32"/>
        </w:rPr>
        <w:t>全国社会保障基金按照国家规定享受税收优惠。</w:t>
      </w:r>
    </w:p>
    <w:p w14:paraId="3E561B37" w14:textId="77777777" w:rsidR="00DC0FE3" w:rsidRDefault="00000000">
      <w:pPr>
        <w:pStyle w:val="2"/>
        <w:rPr>
          <w:rFonts w:ascii="方正黑体_GBK"/>
        </w:rPr>
      </w:pPr>
      <w:r>
        <w:rPr>
          <w:rFonts w:ascii="方正黑体_GBK" w:hAnsi="Times New Roman" w:cs="Times New Roman" w:hint="eastAsia"/>
        </w:rPr>
        <w:t>第三章　全国社会保障基金的监督</w:t>
      </w:r>
    </w:p>
    <w:p w14:paraId="085EE7A6"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国家建立健全全国社会保障基金监督制度。</w:t>
      </w:r>
    </w:p>
    <w:p w14:paraId="3BE9768A" w14:textId="2E6E09B9" w:rsidR="00DC0FE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任何单位和个人不得侵占、挪用或者违规投资运营全国社会保障基金。</w:t>
      </w:r>
    </w:p>
    <w:p w14:paraId="06755E8F"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Times New Roman" w:eastAsia="仿宋_GB2312" w:hAnsi="Times New Roman" w:cs="Times New Roman"/>
          <w:sz w:val="32"/>
          <w:szCs w:val="32"/>
        </w:rPr>
        <w:t>国务院财政部门、国务院社会保险行政部门按照各自职责对全国社会保障基金的收支、管理和投资运营情况实施监督；发现存在问题的，应当依法处理；不属于本部门职责范围的，应当依法移送国务院外汇管理部门、国务院证券监督管理机构、国务院银行业监督管理机构等有关部</w:t>
      </w:r>
      <w:r>
        <w:rPr>
          <w:rFonts w:ascii="Times New Roman" w:eastAsia="仿宋_GB2312" w:hAnsi="Times New Roman" w:cs="Times New Roman"/>
          <w:sz w:val="32"/>
          <w:szCs w:val="32"/>
        </w:rPr>
        <w:lastRenderedPageBreak/>
        <w:t>门处理。</w:t>
      </w:r>
    </w:p>
    <w:p w14:paraId="5FB93FEE"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国务院外汇管理部门、国务院证券监督管理机构、国务院银行业监督管理机构按照各自职责对投资管理人投资、托管人保管全国社会保障基金情况实施监督；发现违法违规行为的，应当依法处理，并及时通知国务院财政部门、国务院社会保险行政部门。</w:t>
      </w:r>
    </w:p>
    <w:p w14:paraId="60D67F33"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Times New Roman" w:eastAsia="仿宋_GB2312" w:hAnsi="Times New Roman" w:cs="Times New Roman"/>
          <w:sz w:val="32"/>
          <w:szCs w:val="32"/>
        </w:rPr>
        <w:t>对全国社会保障基金境外投资管理人、托管人的监督，由国务院证券监督管理机构、国务院银行业监督管理机构按照与投资管理人、托管人所在国家或者地区有关监督管理机构签署的合作文件的规定执行。</w:t>
      </w:r>
    </w:p>
    <w:p w14:paraId="1FDABD64"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Times New Roman" w:eastAsia="仿宋_GB2312" w:hAnsi="Times New Roman" w:cs="Times New Roman"/>
          <w:sz w:val="32"/>
          <w:szCs w:val="32"/>
        </w:rPr>
        <w:t>审计署应当对全国社会保障基金每年至少进行一次审计。审计结果应当向社会公布。</w:t>
      </w:r>
    </w:p>
    <w:p w14:paraId="25A07474"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Times New Roman" w:eastAsia="仿宋_GB2312" w:hAnsi="Times New Roman" w:cs="Times New Roman"/>
          <w:sz w:val="32"/>
          <w:szCs w:val="32"/>
        </w:rPr>
        <w:t>全国社会保障基金理事会应当通过公开招标的方式选聘会计师事务所，对全国社会保障基金进行审计。</w:t>
      </w:r>
    </w:p>
    <w:p w14:paraId="17A058CA"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Times New Roman" w:eastAsia="仿宋_GB2312" w:hAnsi="Times New Roman" w:cs="Times New Roman"/>
          <w:sz w:val="32"/>
          <w:szCs w:val="32"/>
        </w:rPr>
        <w:t>全国社会保障基金理事会应当通过其官方网站、全国范围内发行的报纸每年向社会公布全国社会保障基金的收支、管理和投资运营情况，接受社会监督。</w:t>
      </w:r>
    </w:p>
    <w:p w14:paraId="7D7AFE44" w14:textId="77777777" w:rsidR="00DC0FE3" w:rsidRDefault="00000000">
      <w:pPr>
        <w:pStyle w:val="2"/>
        <w:rPr>
          <w:rFonts w:ascii="方正黑体_GBK"/>
        </w:rPr>
      </w:pPr>
      <w:r>
        <w:rPr>
          <w:rFonts w:ascii="方正黑体_GBK" w:hAnsi="Times New Roman" w:cs="Times New Roman" w:hint="eastAsia"/>
        </w:rPr>
        <w:t>第四章　法律责任</w:t>
      </w:r>
    </w:p>
    <w:p w14:paraId="72798271"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Times New Roman" w:eastAsia="仿宋_GB2312" w:hAnsi="Times New Roman" w:cs="Times New Roman"/>
          <w:sz w:val="32"/>
          <w:szCs w:val="32"/>
        </w:rPr>
        <w:t>全国社会保障基金境内投资管理人、托管人违反本条例第十六条、第十八条第二款规定的，由国务院</w:t>
      </w:r>
      <w:r>
        <w:rPr>
          <w:rFonts w:ascii="Times New Roman" w:eastAsia="仿宋_GB2312" w:hAnsi="Times New Roman" w:cs="Times New Roman"/>
          <w:sz w:val="32"/>
          <w:szCs w:val="32"/>
        </w:rPr>
        <w:lastRenderedPageBreak/>
        <w:t>证券监督管理机构、国务院银行业监督管理机构责令改正，没收违法所得，并处违法所得</w:t>
      </w:r>
      <w:r>
        <w:rPr>
          <w:rFonts w:ascii="Times New Roman" w:eastAsia="仿宋_GB2312" w:hAnsi="Times New Roman" w:cs="Times New Roman"/>
          <w:sz w:val="32"/>
          <w:szCs w:val="32"/>
        </w:rPr>
        <w:t>1</w:t>
      </w:r>
      <w:r>
        <w:rPr>
          <w:rFonts w:ascii="Times New Roman" w:eastAsia="仿宋_GB2312" w:hAnsi="Times New Roman" w:cs="Times New Roman"/>
          <w:sz w:val="32"/>
          <w:szCs w:val="32"/>
        </w:rPr>
        <w:t>倍以上</w:t>
      </w:r>
      <w:r>
        <w:rPr>
          <w:rFonts w:ascii="Times New Roman" w:eastAsia="仿宋_GB2312" w:hAnsi="Times New Roman" w:cs="Times New Roman"/>
          <w:sz w:val="32"/>
          <w:szCs w:val="32"/>
        </w:rPr>
        <w:t>5</w:t>
      </w:r>
      <w:r>
        <w:rPr>
          <w:rFonts w:ascii="Times New Roman" w:eastAsia="仿宋_GB2312" w:hAnsi="Times New Roman" w:cs="Times New Roman"/>
          <w:sz w:val="32"/>
          <w:szCs w:val="32"/>
        </w:rPr>
        <w:t>倍以下罚款；没有违法所得或者违法所得不足</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万元的，并处</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万元以下罚款；对直接负责的主管人员和其他直接责任人员给予警告，暂停或者撤销有关从业资格，并处</w:t>
      </w:r>
      <w:r>
        <w:rPr>
          <w:rFonts w:ascii="Times New Roman" w:eastAsia="仿宋_GB2312" w:hAnsi="Times New Roman" w:cs="Times New Roman"/>
          <w:sz w:val="32"/>
          <w:szCs w:val="32"/>
        </w:rPr>
        <w:t>3</w:t>
      </w:r>
      <w:r>
        <w:rPr>
          <w:rFonts w:ascii="Times New Roman" w:eastAsia="仿宋_GB2312" w:hAnsi="Times New Roman" w:cs="Times New Roman"/>
          <w:sz w:val="32"/>
          <w:szCs w:val="32"/>
        </w:rPr>
        <w:t>万元以上</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万元以下罚款；构成犯罪的，依法追究刑事责任。</w:t>
      </w:r>
    </w:p>
    <w:p w14:paraId="3A8E201D"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Times New Roman" w:eastAsia="仿宋_GB2312" w:hAnsi="Times New Roman" w:cs="Times New Roman"/>
          <w:sz w:val="32"/>
          <w:szCs w:val="32"/>
        </w:rPr>
        <w:t>全国社会保障基金理事会违反本条例规定的，由国务院财政部门、国务院社会保险行政部门责令改正；对直接负责的主管人员和其他直接责任人员依法给予处分；构成犯罪的，依法追究刑事责任。</w:t>
      </w:r>
    </w:p>
    <w:p w14:paraId="7972C422"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Times New Roman" w:eastAsia="仿宋_GB2312" w:hAnsi="Times New Roman" w:cs="Times New Roman"/>
          <w:sz w:val="32"/>
          <w:szCs w:val="32"/>
        </w:rPr>
        <w:t>国家工作人员在全国社会保障基金管理运营、监督工作中滥用职权、玩忽职守、徇私舞弊的，依法给予处分；构成犯罪的，依法追究刑事责任。</w:t>
      </w:r>
    </w:p>
    <w:p w14:paraId="42DB571E"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Times New Roman" w:eastAsia="仿宋_GB2312" w:hAnsi="Times New Roman" w:cs="Times New Roman"/>
          <w:sz w:val="32"/>
          <w:szCs w:val="32"/>
        </w:rPr>
        <w:t>违反本条例规定，给全国社会保障基金造成损失的，依法承担赔偿责任。</w:t>
      </w:r>
    </w:p>
    <w:p w14:paraId="73AA0305" w14:textId="77777777" w:rsidR="00DC0FE3" w:rsidRDefault="00000000">
      <w:pPr>
        <w:pStyle w:val="2"/>
        <w:rPr>
          <w:rFonts w:ascii="方正黑体_GBK"/>
        </w:rPr>
      </w:pPr>
      <w:r>
        <w:rPr>
          <w:rFonts w:ascii="方正黑体_GBK" w:hAnsi="Times New Roman" w:cs="Times New Roman" w:hint="eastAsia"/>
        </w:rPr>
        <w:t>第五章　附则</w:t>
      </w:r>
    </w:p>
    <w:p w14:paraId="5C42D0F3" w14:textId="77777777" w:rsidR="00DC0FE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Times New Roman" w:eastAsia="仿宋_GB2312" w:hAnsi="Times New Roman" w:cs="Times New Roman"/>
          <w:sz w:val="32"/>
          <w:szCs w:val="32"/>
        </w:rPr>
        <w:t>经国务院批准，全国社会保障基金理事会可以接受省级人民政府的委托管理运营社会保险基金；受托管理运营社会保险基金，按照国务院有关社会保险基金投资管理的规定执行。</w:t>
      </w:r>
    </w:p>
    <w:p w14:paraId="0A56D71E" w14:textId="77777777" w:rsidR="00DC0FE3" w:rsidRDefault="00000000">
      <w:pPr>
        <w:ind w:firstLineChars="200" w:firstLine="640"/>
      </w:pPr>
      <w:r>
        <w:rPr>
          <w:rFonts w:ascii="Times New Roman" w:eastAsia="黑体" w:hAnsi="Times New Roman" w:cs="Times New Roman"/>
          <w:sz w:val="32"/>
          <w:szCs w:val="32"/>
        </w:rPr>
        <w:t xml:space="preserve">第三十条　</w:t>
      </w:r>
      <w:r>
        <w:rPr>
          <w:rFonts w:ascii="Times New Roman" w:eastAsia="仿宋_GB2312" w:hAnsi="Times New Roman" w:cs="Times New Roman"/>
          <w:sz w:val="32"/>
          <w:szCs w:val="32"/>
        </w:rPr>
        <w:t>本条例自</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年</w:t>
      </w:r>
      <w:r>
        <w:rPr>
          <w:rFonts w:ascii="Times New Roman" w:eastAsia="仿宋_GB2312" w:hAnsi="Times New Roman" w:cs="Times New Roman"/>
          <w:sz w:val="32"/>
          <w:szCs w:val="32"/>
        </w:rPr>
        <w:t>5</w:t>
      </w:r>
      <w:r>
        <w:rPr>
          <w:rFonts w:ascii="Times New Roman" w:eastAsia="仿宋_GB2312" w:hAnsi="Times New Roman" w:cs="Times New Roman"/>
          <w:sz w:val="32"/>
          <w:szCs w:val="32"/>
        </w:rPr>
        <w:t>月</w:t>
      </w:r>
      <w:r>
        <w:rPr>
          <w:rFonts w:ascii="Times New Roman" w:eastAsia="仿宋_GB2312" w:hAnsi="Times New Roman" w:cs="Times New Roman"/>
          <w:sz w:val="32"/>
          <w:szCs w:val="32"/>
        </w:rPr>
        <w:t>1</w:t>
      </w:r>
      <w:r>
        <w:rPr>
          <w:rFonts w:ascii="Times New Roman" w:eastAsia="仿宋_GB2312" w:hAnsi="Times New Roman" w:cs="Times New Roman"/>
          <w:sz w:val="32"/>
          <w:szCs w:val="32"/>
        </w:rPr>
        <w:t>日起施行。</w:t>
      </w:r>
    </w:p>
    <w:sectPr w:rsidR="00DC0FE3">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0C7C0" w14:textId="77777777" w:rsidR="00565EE3" w:rsidRDefault="00565EE3">
      <w:r>
        <w:separator/>
      </w:r>
    </w:p>
  </w:endnote>
  <w:endnote w:type="continuationSeparator" w:id="0">
    <w:p w14:paraId="459BF92F" w14:textId="77777777" w:rsidR="00565EE3" w:rsidRDefault="0056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04ABF" w14:textId="77777777" w:rsidR="00DC0FE3" w:rsidRDefault="00000000">
    <w:pPr>
      <w:pStyle w:val="a4"/>
    </w:pPr>
    <w:r>
      <w:pict w14:anchorId="3738F61A">
        <v:shapetype id="_x0000_t202" coordsize="21600,21600" o:spt="202" path="m,l,21600r21600,l21600,xe">
          <v:stroke joinstyle="miter"/>
          <v:path gradientshapeok="t" o:connecttype="rect"/>
        </v:shapetype>
        <v:shape id="_x0000_s1026"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1F46162B" w14:textId="77777777" w:rsidR="00DC0FE3" w:rsidRDefault="00000000">
                <w:pPr>
                  <w:pStyle w:val="a4"/>
                </w:pPr>
                <w:r>
                  <w:rPr>
                    <w:rFonts w:ascii="方正楷体_GBK" w:eastAsia="方正楷体_GBK" w:hAnsi="方正楷体_GBK" w:cs="方正楷体_GBK" w:hint="eastAsia"/>
                    <w:sz w:val="24"/>
                    <w:szCs w:val="24"/>
                  </w:rPr>
                  <w:fldChar w:fldCharType="begin"/>
                </w:r>
                <w:r>
                  <w:rPr>
                    <w:rFonts w:ascii="方正楷体_GBK" w:eastAsia="方正楷体_GBK" w:hAnsi="方正楷体_GBK" w:cs="方正楷体_GBK" w:hint="eastAsia"/>
                    <w:sz w:val="24"/>
                    <w:szCs w:val="24"/>
                  </w:rPr>
                  <w:instrText xml:space="preserve"> PAGE  \* MERGEFORMAT </w:instrText>
                </w:r>
                <w:r>
                  <w:rPr>
                    <w:rFonts w:ascii="方正楷体_GBK" w:eastAsia="方正楷体_GBK" w:hAnsi="方正楷体_GBK" w:cs="方正楷体_GBK" w:hint="eastAsia"/>
                    <w:sz w:val="24"/>
                    <w:szCs w:val="24"/>
                  </w:rPr>
                  <w:fldChar w:fldCharType="separate"/>
                </w:r>
                <w:r>
                  <w:rPr>
                    <w:rFonts w:ascii="方正楷体_GBK" w:eastAsia="方正楷体_GBK" w:hAnsi="方正楷体_GBK" w:cs="方正楷体_GBK"/>
                    <w:sz w:val="24"/>
                    <w:szCs w:val="24"/>
                  </w:rPr>
                  <w:t>- 1 -</w:t>
                </w:r>
                <w:r>
                  <w:rPr>
                    <w:rFonts w:ascii="方正楷体_GBK" w:eastAsia="方正楷体_GBK" w:hAnsi="方正楷体_GBK" w:cs="方正楷体_GBK"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F3227" w14:textId="77777777" w:rsidR="00565EE3" w:rsidRDefault="00565EE3">
      <w:r>
        <w:separator/>
      </w:r>
    </w:p>
  </w:footnote>
  <w:footnote w:type="continuationSeparator" w:id="0">
    <w:p w14:paraId="56D515D6" w14:textId="77777777" w:rsidR="00565EE3" w:rsidRDefault="00565E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E7831ED"/>
    <w:rsid w:val="00565EE3"/>
    <w:rsid w:val="007474F9"/>
    <w:rsid w:val="00894E0C"/>
    <w:rsid w:val="00C04CBA"/>
    <w:rsid w:val="00CE3C5D"/>
    <w:rsid w:val="00DC0FE3"/>
    <w:rsid w:val="10874F24"/>
    <w:rsid w:val="2C842FBD"/>
    <w:rsid w:val="2E7831ED"/>
    <w:rsid w:val="4DD01D73"/>
    <w:rsid w:val="69545EF3"/>
    <w:rsid w:val="6E0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4AAA3F"/>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cp:revision>
  <dcterms:created xsi:type="dcterms:W3CDTF">2019-05-22T14:00:00Z</dcterms:created>
  <dcterms:modified xsi:type="dcterms:W3CDTF">2023-04-26T11:33:00Z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