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DEA66" w14:textId="77777777" w:rsidR="00DC0FE3" w:rsidRDefault="00DC0FE3">
      <w:pPr>
        <w:pStyle w:val="a3"/>
        <w:jc w:val="center"/>
        <w:rPr>
          <w:rFonts w:ascii="Times New Roman" w:hAnsi="Times New Roman" w:cs="Times New Roman"/>
          <w:sz w:val="44"/>
          <w:szCs w:val="44"/>
        </w:rPr>
      </w:pPr>
    </w:p>
    <w:p w14:paraId="1AD6068D" w14:textId="77777777" w:rsidR="00DC0FE3" w:rsidRDefault="00000000">
      <w:pPr>
        <w:pStyle w:val="a3"/>
        <w:jc w:val="center"/>
        <w:rPr>
          <w:rFonts w:ascii="Times New Roman" w:hAnsi="Times New Roman" w:cs="Times New Roman"/>
          <w:sz w:val="44"/>
          <w:szCs w:val="44"/>
        </w:rPr>
      </w:pPr>
      <w:r>
        <w:rPr>
          <w:rFonts w:ascii="Times New Roman" w:hAnsi="Times New Roman" w:cs="Times New Roman"/>
          <w:sz w:val="44"/>
          <w:szCs w:val="44"/>
        </w:rPr>
        <w:t>全国社会保障基金条例</w:t>
      </w:r>
    </w:p>
    <w:p w14:paraId="1FC60B3E" w14:textId="77777777" w:rsidR="00DC0FE3" w:rsidRDefault="00DC0FE3">
      <w:pPr>
        <w:pStyle w:val="a3"/>
        <w:ind w:firstLineChars="200" w:firstLine="640"/>
        <w:rPr>
          <w:rFonts w:ascii="方正楷体_GBK" w:eastAsia="方正楷体_GBK" w:hAnsi="方正楷体_GBK" w:cs="方正楷体_GBK"/>
          <w:sz w:val="32"/>
          <w:szCs w:val="32"/>
        </w:rPr>
      </w:pPr>
    </w:p>
    <w:p w14:paraId="0BAA0FF6" w14:textId="77777777" w:rsidR="00DC0FE3" w:rsidRDefault="0000000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(2016年2月3日国务院第122次常务会议通过　2016年3月10日中华人民共和国国务院令第667号公布　自2016年5月1日起施行)</w:t>
      </w:r>
    </w:p>
    <w:p w14:paraId="1632F9F5" w14:textId="77777777" w:rsidR="00DC0FE3" w:rsidRDefault="00000000">
      <w:pPr>
        <w:pStyle w:val="2"/>
        <w:rPr>
          <w:rFonts w:ascii="方正黑体_GBK"/>
        </w:rPr>
      </w:pPr>
      <w:r>
        <w:rPr>
          <w:rFonts w:ascii="方正黑体_GBK" w:hAnsi="Times New Roman" w:cs="Times New Roman" w:hint="eastAsia"/>
        </w:rPr>
        <w:t>第一章　总则</w:t>
      </w:r>
    </w:p>
    <w:p w14:paraId="3CABD836"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为了规范全国社会保障基金的管理运营，加强对全国社会保障基金的监督，在保证安全的前提下实现保值增值，根据《中华人民共和国社会保险法》，制定本条例。</w:t>
      </w:r>
    </w:p>
    <w:p w14:paraId="27926FE7"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国家设立全国社会保障基金。</w:t>
      </w:r>
    </w:p>
    <w:p w14:paraId="37DBB40E"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全国社会保障基金由中央财政预算拨款、国有资本划转、基金投资收益和以国务院批准的其他方式筹集的资金构成。</w:t>
      </w:r>
    </w:p>
    <w:p w14:paraId="02974D57"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全国社会保障基金是国家社会保障储备基金，用于人口老龄化高峰时期的养老保险等社会保障支出的补充、调剂。</w:t>
      </w:r>
    </w:p>
    <w:p w14:paraId="017EA454"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国家根据人口老龄化趋势和经济社会发展状况，确定和调整全国社会保障基金规模。</w:t>
      </w:r>
    </w:p>
    <w:p w14:paraId="7272D3F3"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全国社会保障基金的筹集和使用方案，由国务院确定。</w:t>
      </w:r>
    </w:p>
    <w:p w14:paraId="3A3A1346"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国务院财政部门、国务院社会保险行政部门负责拟订全国社会保障基金的管理运营办法，报国务院批准后</w:t>
      </w:r>
      <w:r>
        <w:rPr>
          <w:rFonts w:ascii="Times New Roman" w:eastAsia="仿宋_GB2312" w:hAnsi="Times New Roman" w:cs="Times New Roman"/>
          <w:sz w:val="32"/>
          <w:szCs w:val="32"/>
        </w:rPr>
        <w:lastRenderedPageBreak/>
        <w:t>施行。</w:t>
      </w:r>
    </w:p>
    <w:p w14:paraId="610230C8"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全国社会保障基金理事会负责全国社会保障基金的管理运营。</w:t>
      </w:r>
    </w:p>
    <w:p w14:paraId="2C164605" w14:textId="77777777" w:rsidR="00DC0FE3" w:rsidRDefault="00000000">
      <w:pPr>
        <w:pStyle w:val="2"/>
        <w:rPr>
          <w:rFonts w:ascii="方正黑体_GBK"/>
        </w:rPr>
      </w:pPr>
      <w:r>
        <w:rPr>
          <w:rFonts w:ascii="方正黑体_GBK" w:hAnsi="Times New Roman" w:cs="Times New Roman" w:hint="eastAsia"/>
        </w:rPr>
        <w:t>第二章　全国社会保障基金的管理运营</w:t>
      </w:r>
    </w:p>
    <w:p w14:paraId="6D88EDBA"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全国社会保障基金理事会应当审慎、稳健管理运营全国社会保障基金，按照国务院批准的比例在境内外市场投资运营全国社会保障基金。</w:t>
      </w:r>
    </w:p>
    <w:p w14:paraId="3914F673" w14:textId="46D9EC22"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全国社会保障基金理事会投资运营全国社会保障基金，应当坚持安全性、收益性和长期性原则，在国务院批准的固定收益类、股票类和未上市股权类等资产种类及其比例幅度内合理配置资产。</w:t>
      </w:r>
    </w:p>
    <w:p w14:paraId="743F799C"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全国社会保障基金理事会制定全国社会保障基金的资产配置计划、确定重大投资项目，应当进行风险评估，并集体讨论决定。</w:t>
      </w:r>
    </w:p>
    <w:p w14:paraId="42293BB9" w14:textId="3144AECB"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理事会应当制定风险管理和内部控制办法，在管理运营的各个环节对风险进行识别、衡量、评估、监测和应对，有效防范和控制风险。风险管理和内部控制办法应当报国务院财政部门、国务院社会保险行政部门备案。</w:t>
      </w:r>
    </w:p>
    <w:p w14:paraId="42E51155" w14:textId="32F25E70"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全国社会保障基金理事会应当依法制定会计核算办法，并报国务院财政部门审核批准。</w:t>
      </w:r>
    </w:p>
    <w:p w14:paraId="68D6BDA6"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第八条　</w:t>
      </w:r>
      <w:r>
        <w:rPr>
          <w:rFonts w:ascii="Times New Roman" w:eastAsia="仿宋_GB2312" w:hAnsi="Times New Roman" w:cs="Times New Roman"/>
          <w:sz w:val="32"/>
          <w:szCs w:val="32"/>
        </w:rPr>
        <w:t>全国社会保障基金理事会应当定期向国务院财政部门、国务院社会保险行政部门报告全国社会保障基金管理运营情况，提交财务会计报告。</w:t>
      </w:r>
    </w:p>
    <w:p w14:paraId="113665FF"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全国社会保障基金理事会可以将全国社会保障基金委托投资或者以国务院批准的其他方式投资。</w:t>
      </w:r>
    </w:p>
    <w:p w14:paraId="6EF38F32"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全国社会保障基金理事会将全国社会保障基金委托投资的，应当选择符合法定条件的专业投资管理机构、专业托管机构分别担任全国社会保障基金投资管理人、托管人。</w:t>
      </w:r>
    </w:p>
    <w:p w14:paraId="10C96DC6" w14:textId="171DCD7A"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全国社会保障基金理事会应当按照公开、公平、公正的原则选聘投资管理人、托管人，发布选聘信息、组织专家评审、集体讨论决定并公布选聘结果。</w:t>
      </w:r>
    </w:p>
    <w:p w14:paraId="1A84FB1B" w14:textId="6D606C2D"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全国社会保障基金理事会应当制定投资管理人、托管人选聘办法，并报国务院财政部门、国务院社会保险行政部门备案。</w:t>
      </w:r>
    </w:p>
    <w:p w14:paraId="7AA1FACB"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全国社会保障基金理事会应当与聘任的投资管理人、托管人分别签订委托投资合同、托管合同，并报国务院财政部门、国务院社会保险行政部门、国务院外汇管理部门、国务院证券监督管理机构、国务院银行业监督管理机构备案。</w:t>
      </w:r>
    </w:p>
    <w:p w14:paraId="331F4298"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全国社会保障基金理事会应当制定投资管理人、托管人考评办法，根据考评办法对投资管理人投资、</w:t>
      </w:r>
      <w:r>
        <w:rPr>
          <w:rFonts w:ascii="Times New Roman" w:eastAsia="仿宋_GB2312" w:hAnsi="Times New Roman" w:cs="Times New Roman"/>
          <w:sz w:val="32"/>
          <w:szCs w:val="32"/>
        </w:rPr>
        <w:lastRenderedPageBreak/>
        <w:t>托管人保管全国社会保障基金的情况进行考评。考评结果作为是否继续聘任的依据。</w:t>
      </w:r>
    </w:p>
    <w:p w14:paraId="514A9D01"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全国社会保障基金投资管理人履行下列职责：</w:t>
      </w:r>
    </w:p>
    <w:p w14:paraId="36761CC2" w14:textId="2722F6A8"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运用全国社会保障基金进行投资；</w:t>
      </w:r>
    </w:p>
    <w:p w14:paraId="6C3A1FCE" w14:textId="035D4BB3"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按照规定提取全国社会保障基金投资管理风险准备金；</w:t>
      </w:r>
    </w:p>
    <w:p w14:paraId="0CE3202B" w14:textId="2D2DBC23"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向全国社会保障基金理事会报告投资情况；</w:t>
      </w:r>
    </w:p>
    <w:p w14:paraId="0055CEB1" w14:textId="4E9767B3"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法律、行政法规和国务院有关部门规章规定的其他职责。</w:t>
      </w:r>
    </w:p>
    <w:p w14:paraId="76E71132"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全国社会保障基金托管人履行下列职责：</w:t>
      </w:r>
    </w:p>
    <w:p w14:paraId="198BB483" w14:textId="217227D4"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安全保管全国社会保障基金财产；</w:t>
      </w:r>
    </w:p>
    <w:p w14:paraId="1F98C582" w14:textId="336EB5C6"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按照托管合同的约定，根据全国社会保障基金投资管理人的投资指令，及时办理清算、交割事宜；</w:t>
      </w:r>
    </w:p>
    <w:p w14:paraId="42DDBD61" w14:textId="39404AE4"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按照规定和托管合同的约定，监督全国社会保障基金投资管理人的投资；</w:t>
      </w:r>
    </w:p>
    <w:p w14:paraId="4FB71212" w14:textId="7285DE1F"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执行全国社会保障基金理事会的指令，并报告托管情况；</w:t>
      </w:r>
    </w:p>
    <w:p w14:paraId="3D3D2298" w14:textId="14A74E8A"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法律、行政法规和国务院有关部门规章规定的其他职责。</w:t>
      </w:r>
    </w:p>
    <w:p w14:paraId="6D64E3D4"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全国社会保障基金财产应当独立于全国社会保障基金理事会、投资管理人、托管人的固有财产，独立</w:t>
      </w:r>
      <w:r>
        <w:rPr>
          <w:rFonts w:ascii="Times New Roman" w:eastAsia="仿宋_GB2312" w:hAnsi="Times New Roman" w:cs="Times New Roman"/>
          <w:sz w:val="32"/>
          <w:szCs w:val="32"/>
        </w:rPr>
        <w:lastRenderedPageBreak/>
        <w:t>于投资管理人投资和托管人保管的其他财产。</w:t>
      </w:r>
    </w:p>
    <w:p w14:paraId="52852836"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全国社会保障基金投资管理人、托管人不得有下列行为：</w:t>
      </w:r>
    </w:p>
    <w:p w14:paraId="5964848B" w14:textId="717CC099"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将全国社会保障基金财产混同于其他财产投资、保管；</w:t>
      </w:r>
    </w:p>
    <w:p w14:paraId="003DBC0A" w14:textId="59F59DD3"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泄露因职务便利获取的全国社会保障基金未公开的信息，利用该信息从事或者明示、暗示他人从事相关交易活动；</w:t>
      </w:r>
    </w:p>
    <w:p w14:paraId="5B63828E" w14:textId="3EB48563"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法律、行政法规和国务院有关部门规章禁止的其他行为。</w:t>
      </w:r>
    </w:p>
    <w:p w14:paraId="139460E6"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全国社会保障基金按照国家规定享受税收优惠。</w:t>
      </w:r>
    </w:p>
    <w:p w14:paraId="3E561B37" w14:textId="77777777" w:rsidR="00DC0FE3" w:rsidRDefault="00000000">
      <w:pPr>
        <w:pStyle w:val="2"/>
        <w:rPr>
          <w:rFonts w:ascii="方正黑体_GBK"/>
        </w:rPr>
      </w:pPr>
      <w:r>
        <w:rPr>
          <w:rFonts w:ascii="方正黑体_GBK" w:hAnsi="Times New Roman" w:cs="Times New Roman" w:hint="eastAsia"/>
        </w:rPr>
        <w:t>第三章　全国社会保障基金的监督</w:t>
      </w:r>
    </w:p>
    <w:p w14:paraId="085EE7A6"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国家建立健全全国社会保障基金监督制度。</w:t>
      </w:r>
    </w:p>
    <w:p w14:paraId="3BE9768A" w14:textId="2E6E09B9" w:rsidR="00DC0FE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任何单位和个人不得侵占、挪用或者违规投资运营全国社会保障基金。</w:t>
      </w:r>
    </w:p>
    <w:p w14:paraId="06755E8F"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国务院财政部门、国务院社会保险行政部门按照各自职责对全国社会保障基金的收支、管理和投资运营情况实施监督；发现存在问题的，应当依法处理；不属于本部门职责范围的，应当依法移送国务院外汇管理部门、国务院证券监督管理机构、国务院银行业监督管理机构等有关部</w:t>
      </w:r>
      <w:r>
        <w:rPr>
          <w:rFonts w:ascii="Times New Roman" w:eastAsia="仿宋_GB2312" w:hAnsi="Times New Roman" w:cs="Times New Roman"/>
          <w:sz w:val="32"/>
          <w:szCs w:val="32"/>
        </w:rPr>
        <w:lastRenderedPageBreak/>
        <w:t>门处理。</w:t>
      </w:r>
    </w:p>
    <w:p w14:paraId="5FB93FEE"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国务院外汇管理部门、国务院证券监督管理机构、国务院银行业监督管理机构按照各自职责对投资管理人投资、托管人保管全国社会保障基金情况实施监督；发现违法违规行为的，应当依法处理，并及时通知国务院财政部门、国务院社会保险行政部门。</w:t>
      </w:r>
    </w:p>
    <w:p w14:paraId="60D67F33"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对全国社会保障基金境外投资管理人、托管人的监督，由国务院证券监督管理机构、国务院银行业监督管理机构按照与投资管理人、托管人所在国家或者地区有关监督管理机构签署的合作文件的规定执行。</w:t>
      </w:r>
    </w:p>
    <w:p w14:paraId="1FDABD64"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审计署应当对全国社会保障基金每年至少进行一次审计。审计结果应当向社会公布。</w:t>
      </w:r>
    </w:p>
    <w:p w14:paraId="25A07474"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全国社会保障基金理事会应当通过公开招标的方式选聘会计师事务所，对全国社会保障基金进行审计。</w:t>
      </w:r>
    </w:p>
    <w:p w14:paraId="17A058CA"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全国社会保障基金理事会应当通过其官方网站、全国范围内发行的报纸每年向社会公布全国社会保障基金的收支、管理和投资运营情况，接受社会监督。</w:t>
      </w:r>
    </w:p>
    <w:p w14:paraId="7D7AFE44" w14:textId="77777777" w:rsidR="00DC0FE3" w:rsidRDefault="00000000">
      <w:pPr>
        <w:pStyle w:val="2"/>
        <w:rPr>
          <w:rFonts w:ascii="方正黑体_GBK"/>
        </w:rPr>
      </w:pPr>
      <w:r>
        <w:rPr>
          <w:rFonts w:ascii="方正黑体_GBK" w:hAnsi="Times New Roman" w:cs="Times New Roman" w:hint="eastAsia"/>
        </w:rPr>
        <w:t>第四章　法律责任</w:t>
      </w:r>
    </w:p>
    <w:p w14:paraId="72798271"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全国社会保障基金境内投资管理人、托管人违反本条例第十六条、第十八条第二款规定的，由国务院</w:t>
      </w:r>
      <w:r>
        <w:rPr>
          <w:rFonts w:ascii="Times New Roman" w:eastAsia="仿宋_GB2312" w:hAnsi="Times New Roman" w:cs="Times New Roman"/>
          <w:sz w:val="32"/>
          <w:szCs w:val="32"/>
        </w:rPr>
        <w:lastRenderedPageBreak/>
        <w:t>证券监督管理机构、国务院银行业监督管理机构责令改正，没收违法所得，并处违法所得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倍以下罚款；没有违法所得或者违法所得不足</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万元的，并处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万元以下罚款；对直接负责的主管人员和其他直接责任人员给予警告，暂停或者撤销有关从业资格，并处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万元以下罚款；构成犯罪的，依法追究刑事责任。</w:t>
      </w:r>
    </w:p>
    <w:p w14:paraId="3A8E201D"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全国社会保障基金理事会违反本条例规定的，由国务院财政部门、国务院社会保险行政部门责令改正；对直接负责的主管人员和其他直接责任人员依法给予处分；构成犯罪的，依法追究刑事责任。</w:t>
      </w:r>
    </w:p>
    <w:p w14:paraId="7972C422"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国家工作人员在全国社会保障基金管理运营、监督工作中滥用职权、玩忽职守、徇私舞弊的，依法给予处分；构成犯罪的，依法追究刑事责任。</w:t>
      </w:r>
    </w:p>
    <w:p w14:paraId="42DB571E"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违反本条例规定，给全国社会保障基金造成损失的，依法承担赔偿责任。</w:t>
      </w:r>
    </w:p>
    <w:p w14:paraId="73AA0305" w14:textId="77777777" w:rsidR="00DC0FE3" w:rsidRDefault="00000000">
      <w:pPr>
        <w:pStyle w:val="2"/>
        <w:rPr>
          <w:rFonts w:ascii="方正黑体_GBK"/>
        </w:rPr>
      </w:pPr>
      <w:r>
        <w:rPr>
          <w:rFonts w:ascii="方正黑体_GBK" w:hAnsi="Times New Roman" w:cs="Times New Roman" w:hint="eastAsia"/>
        </w:rPr>
        <w:t>第五章　附则</w:t>
      </w:r>
    </w:p>
    <w:p w14:paraId="5C42D0F3" w14:textId="77777777" w:rsidR="00DC0FE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经国务院批准，全国社会保障基金理事会可以接受省级人民政府的委托管理运营社会保险基金；受托管理运营社会保险基金，按照国务院有关社会保险基金投资管理的规定执行。</w:t>
      </w:r>
    </w:p>
    <w:p w14:paraId="0A56D71E" w14:textId="77777777" w:rsidR="00DC0FE3" w:rsidRDefault="00000000">
      <w:pPr>
        <w:ind w:firstLineChars="200" w:firstLine="640"/>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2016</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DC0FE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0C7C0" w14:textId="77777777" w:rsidR="00565EE3" w:rsidRDefault="00565EE3">
      <w:r>
        <w:separator/>
      </w:r>
    </w:p>
  </w:endnote>
  <w:endnote w:type="continuationSeparator" w:id="0">
    <w:p w14:paraId="459BF92F" w14:textId="77777777" w:rsidR="00565EE3" w:rsidRDefault="00565E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04ABF" w14:textId="77777777" w:rsidR="00DC0FE3" w:rsidRDefault="00000000">
    <w:pPr>
      <w:pStyle w:val="a4"/>
    </w:pPr>
    <w:r>
      <w:pict w14:anchorId="3738F61A">
        <v:shapetype id="_x0000_t202" coordsize="21600,21600" o:spt="202" path="m,l,21600r21600,l21600,xe">
          <v:stroke joinstyle="miter"/>
          <v:path gradientshapeok="t" o:connecttype="rect"/>
        </v:shapetype>
        <v:shape id="_x0000_s1026"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F46162B" w14:textId="77777777" w:rsidR="00DC0FE3" w:rsidRDefault="00000000">
                <w:pPr>
                  <w:pStyle w:val="a4"/>
                </w:pPr>
                <w:r>
                  <w:rPr>
                    <w:rFonts w:ascii="方正楷体_GBK" w:eastAsia="方正楷体_GBK" w:hAnsi="方正楷体_GBK" w:cs="方正楷体_GBK" w:hint="eastAsia"/>
                    <w:sz w:val="24"/>
                    <w:szCs w:val="24"/>
                  </w:rPr>
                  <w:fldChar w:fldCharType="begin"/>
                </w:r>
                <w:r>
                  <w:rPr>
                    <w:rFonts w:ascii="方正楷体_GBK" w:eastAsia="方正楷体_GBK" w:hAnsi="方正楷体_GBK" w:cs="方正楷体_GBK" w:hint="eastAsia"/>
                    <w:sz w:val="24"/>
                    <w:szCs w:val="24"/>
                  </w:rPr>
                  <w:instrText xml:space="preserve"> PAGE  \* MERGEFORMAT </w:instrText>
                </w:r>
                <w:r>
                  <w:rPr>
                    <w:rFonts w:ascii="方正楷体_GBK" w:eastAsia="方正楷体_GBK" w:hAnsi="方正楷体_GBK" w:cs="方正楷体_GBK" w:hint="eastAsia"/>
                    <w:sz w:val="24"/>
                    <w:szCs w:val="24"/>
                  </w:rPr>
                  <w:fldChar w:fldCharType="separate"/>
                </w:r>
                <w:r>
                  <w:rPr>
                    <w:rFonts w:ascii="方正楷体_GBK" w:eastAsia="方正楷体_GBK" w:hAnsi="方正楷体_GBK" w:cs="方正楷体_GBK"/>
                    <w:sz w:val="24"/>
                    <w:szCs w:val="24"/>
                  </w:rPr>
                  <w:t>- 1 -</w:t>
                </w:r>
                <w:r>
                  <w:rPr>
                    <w:rFonts w:ascii="方正楷体_GBK" w:eastAsia="方正楷体_GBK" w:hAnsi="方正楷体_GBK" w:cs="方正楷体_GBK"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7F3227" w14:textId="77777777" w:rsidR="00565EE3" w:rsidRDefault="00565EE3">
      <w:r>
        <w:separator/>
      </w:r>
    </w:p>
  </w:footnote>
  <w:footnote w:type="continuationSeparator" w:id="0">
    <w:p w14:paraId="56D515D6" w14:textId="77777777" w:rsidR="00565EE3" w:rsidRDefault="00565E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E7831ED"/>
    <w:rsid w:val="00565EE3"/>
    <w:rsid w:val="007474F9"/>
    <w:rsid w:val="00894E0C"/>
    <w:rsid w:val="00C04CBA"/>
    <w:rsid w:val="00CE3C5D"/>
    <w:rsid w:val="00DC0FE3"/>
    <w:rsid w:val="10874F24"/>
    <w:rsid w:val="2C842FBD"/>
    <w:rsid w:val="2E7831ED"/>
    <w:rsid w:val="4DD01D73"/>
    <w:rsid w:val="69545EF3"/>
    <w:rsid w:val="6E080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4AAA3F"/>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448</Words>
  <Characters>2554</Characters>
  <Application>Microsoft Office Word</Application>
  <DocSecurity>0</DocSecurity>
  <Lines>21</Lines>
  <Paragraphs>5</Paragraphs>
  <ScaleCrop>false</ScaleCrop>
  <Company/>
  <LinksUpToDate>false</LinksUpToDate>
  <CharactersWithSpaces>2997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cp:revision>
  <dcterms:created xsi:type="dcterms:W3CDTF">2019-05-22T14:00:00Z</dcterms:created>
  <dcterms:modified xsi:type="dcterms:W3CDTF">2023-04-26T11:33:00Z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