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pageBreakBefore w:val="0"/>
        <w:widowControl w:val="0"/>
        <w:kinsoku/>
        <w:wordWrap/>
        <w:overflowPunct/>
        <w:topLinePunct w:val="0"/>
        <w:autoSpaceDE/>
        <w:autoSpaceDN/>
        <w:bidi w:val="0"/>
        <w:adjustRightInd/>
        <w:snapToGrid/>
        <w:spacing w:beforeAutospacing="0" w:afterAutospacing="0"/>
        <w:jc w:val="center"/>
        <w:textAlignment w:val="auto"/>
        <w:rPr>
          <w:rFonts w:ascii="宋体" w:hAnsi="宋体" w:eastAsia="宋体" w:cs="Times New Roman"/>
          <w:sz w:val="44"/>
          <w:szCs w:val="44"/>
          <w:lang w:bidi="ar"/>
        </w:rPr>
      </w:pPr>
      <w:bookmarkStart w:id="0" w:name="_GoBack"/>
      <w:bookmarkEnd w:id="0"/>
    </w:p>
    <w:p>
      <w:pPr>
        <w:pStyle w:val="6"/>
        <w:pageBreakBefore w:val="0"/>
        <w:widowControl w:val="0"/>
        <w:kinsoku/>
        <w:wordWrap/>
        <w:overflowPunct/>
        <w:topLinePunct w:val="0"/>
        <w:autoSpaceDE/>
        <w:autoSpaceDN/>
        <w:bidi w:val="0"/>
        <w:adjustRightInd/>
        <w:snapToGrid/>
        <w:spacing w:beforeAutospacing="0" w:afterAutospacing="0"/>
        <w:jc w:val="center"/>
        <w:textAlignment w:val="auto"/>
        <w:rPr>
          <w:rFonts w:ascii="宋体" w:hAnsi="宋体" w:eastAsia="宋体" w:cs="Times New Roman"/>
          <w:sz w:val="44"/>
          <w:szCs w:val="44"/>
        </w:rPr>
      </w:pPr>
      <w:r>
        <w:rPr>
          <w:rFonts w:hint="eastAsia" w:ascii="宋体" w:hAnsi="宋体" w:eastAsia="宋体" w:cs="Times New Roman"/>
          <w:sz w:val="44"/>
          <w:szCs w:val="44"/>
          <w:lang w:bidi="ar"/>
        </w:rPr>
        <w:t>中华人民共和国进出口商品检验法实施条例</w:t>
      </w:r>
    </w:p>
    <w:p>
      <w:pPr>
        <w:pStyle w:val="6"/>
        <w:pageBreakBefore w:val="0"/>
        <w:widowControl w:val="0"/>
        <w:kinsoku/>
        <w:wordWrap/>
        <w:overflowPunct/>
        <w:topLinePunct w:val="0"/>
        <w:autoSpaceDE/>
        <w:autoSpaceDN/>
        <w:bidi w:val="0"/>
        <w:adjustRightInd/>
        <w:snapToGrid/>
        <w:spacing w:beforeAutospacing="0" w:afterAutospacing="0"/>
        <w:jc w:val="left"/>
        <w:textAlignment w:val="auto"/>
        <w:rPr>
          <w:rFonts w:ascii="宋体" w:hAnsi="宋体" w:eastAsia="宋体" w:cs="Times New Roman"/>
          <w:sz w:val="44"/>
          <w:szCs w:val="44"/>
        </w:rPr>
      </w:pP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Times New Roman" w:eastAsia="楷体_GB2312" w:cs="Times New Roman"/>
          <w:sz w:val="32"/>
          <w:szCs w:val="32"/>
          <w:lang w:bidi="ar"/>
        </w:rPr>
      </w:pPr>
      <w:r>
        <w:rPr>
          <w:rFonts w:hint="eastAsia" w:ascii="楷体_GB2312" w:hAnsi="Times New Roman" w:eastAsia="楷体_GB2312" w:cs="Times New Roman"/>
          <w:sz w:val="32"/>
          <w:szCs w:val="32"/>
          <w:lang w:bidi="ar"/>
        </w:rPr>
        <w:t>(2005年8月31日中华人民共和国国务院令第447号公布　根据2013年7月18日《国务院关于废止和修改部分行政法规的决定》第一次修订　根据2016年2月6日《国务院关于修改部分行政法规的决定》第二次修订　根据2017年3月1日《国务院关于修改和废止部分行政法规的决定》第三次修订　根据2019年3月2日《国务院关于修改部分行政法规的决定》第四次修订　</w:t>
      </w:r>
      <w:r>
        <w:rPr>
          <w:rFonts w:hint="eastAsia" w:ascii="楷体_GB2312" w:hAnsi="楷体_GB2312" w:eastAsia="楷体_GB2312" w:cs="楷体_GB2312"/>
          <w:sz w:val="32"/>
          <w:szCs w:val="32"/>
        </w:rPr>
        <w:t>根据2022年3月29日《国务院关于修改和废止部分行政法规的决定》第五次修订</w:t>
      </w:r>
      <w:r>
        <w:rPr>
          <w:rFonts w:hint="eastAsia" w:ascii="楷体_GB2312" w:hAnsi="Times New Roman" w:eastAsia="楷体_GB2312" w:cs="Times New Roman"/>
          <w:sz w:val="32"/>
          <w:szCs w:val="32"/>
          <w:lang w:bidi="ar"/>
        </w:rPr>
        <w:t>)</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Times New Roman" w:eastAsia="楷体_GB2312" w:cs="Times New Roman"/>
          <w:sz w:val="32"/>
          <w:szCs w:val="32"/>
          <w:lang w:bidi="ar"/>
        </w:rPr>
      </w:pPr>
    </w:p>
    <w:p>
      <w:pPr>
        <w:pStyle w:val="2"/>
        <w:keepNext/>
        <w:keepLines/>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ascii="方正黑体_GBK" w:hAnsi="方正黑体_GBK" w:eastAsia="方正黑体_GBK" w:cs="方正黑体_GBK"/>
          <w:b w:val="0"/>
          <w:bCs/>
        </w:rPr>
      </w:pPr>
      <w:r>
        <w:rPr>
          <w:rFonts w:hint="eastAsia" w:ascii="方正黑体_GBK" w:hAnsi="Times New Roman" w:eastAsia="方正黑体_GBK" w:cs="Times New Roman"/>
          <w:b w:val="0"/>
          <w:bCs/>
        </w:rPr>
        <w:t>第一章　总　　则</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第一条　</w:t>
      </w:r>
      <w:r>
        <w:rPr>
          <w:rFonts w:hint="eastAsia" w:ascii="仿宋_GB2312" w:hAnsi="Times New Roman" w:eastAsia="仿宋_GB2312" w:cs="Times New Roman"/>
          <w:sz w:val="32"/>
          <w:szCs w:val="32"/>
          <w:lang w:bidi="ar"/>
        </w:rPr>
        <w:t>根据《中华人民共和国进出口商品检验法》(以下简称商检法)的规定，制定本条例。</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第二条　</w:t>
      </w:r>
      <w:r>
        <w:rPr>
          <w:rFonts w:hint="eastAsia" w:ascii="仿宋_GB2312" w:hAnsi="Times New Roman" w:eastAsia="仿宋_GB2312" w:cs="Times New Roman"/>
          <w:sz w:val="32"/>
          <w:szCs w:val="32"/>
          <w:lang w:bidi="ar"/>
        </w:rPr>
        <w:t>海关总署主管全国进出口商品检验工作。</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海关总署设在省、自治区、直辖市以及进出口商品的口岸、集散地的出入境检验检疫机构及其分支机构(以下简称出入境检验检疫机构)，管理所负责地区的进出口商品检验工作。</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第三条　</w:t>
      </w:r>
      <w:r>
        <w:rPr>
          <w:rFonts w:hint="eastAsia" w:ascii="仿宋_GB2312" w:hAnsi="Times New Roman" w:eastAsia="仿宋_GB2312" w:cs="Times New Roman"/>
          <w:sz w:val="32"/>
          <w:szCs w:val="32"/>
          <w:lang w:bidi="ar"/>
        </w:rPr>
        <w:t>海关总署应当依照商检法第四条规定，制定、调整必须实施检验的进出口商品目录(以下简称目录)并公布实施。</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目录应当至少在实施之日30日前公布；在紧急情况下，应当不迟于实施之日公布。</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海关总署制定、调整目录时，应当征求国务院对外贸易主管部门等有关方面的意见。</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第四条　</w:t>
      </w:r>
      <w:r>
        <w:rPr>
          <w:rFonts w:hint="eastAsia" w:ascii="仿宋_GB2312" w:hAnsi="Times New Roman" w:eastAsia="仿宋_GB2312" w:cs="Times New Roman"/>
          <w:sz w:val="32"/>
          <w:szCs w:val="32"/>
          <w:lang w:bidi="ar"/>
        </w:rPr>
        <w:t>出入境检验检疫机构对列入目录的进出口商品以及法律、行政法规规定须经出入境检验检疫机构检验的其他进出口商品实施检验(以下称法定检验)。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出入境检验检疫机构对法定检验以外的进出口商品，根据国家规定实施抽查检验。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第五条　</w:t>
      </w:r>
      <w:r>
        <w:rPr>
          <w:rFonts w:hint="eastAsia" w:ascii="仿宋_GB2312" w:hAnsi="Times New Roman" w:eastAsia="仿宋_GB2312" w:cs="Times New Roman"/>
          <w:sz w:val="32"/>
          <w:szCs w:val="32"/>
          <w:lang w:bidi="ar"/>
        </w:rPr>
        <w:t>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第六条　</w:t>
      </w:r>
      <w:r>
        <w:rPr>
          <w:rFonts w:hint="eastAsia" w:ascii="仿宋_GB2312" w:hAnsi="Times New Roman" w:eastAsia="仿宋_GB2312" w:cs="Times New Roman"/>
          <w:sz w:val="32"/>
          <w:szCs w:val="32"/>
          <w:lang w:bidi="ar"/>
        </w:rPr>
        <w:t>进出境的样品、礼品、暂时进出境的货物以及其他非贸易性物品，免予检验。但是，法律、行政法规另有规定的除外。</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列入目录的进出口商品符合国家规定的免予检验条件的，由收货人、发货人或者生产企业申请，经海关总署审查批准，出入境检验检疫机构免予检验。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免予检验的具体办法，由海关总署商有关部门制定。</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第七条　</w:t>
      </w:r>
      <w:r>
        <w:rPr>
          <w:rFonts w:hint="eastAsia" w:ascii="仿宋_GB2312" w:hAnsi="Times New Roman" w:eastAsia="仿宋_GB2312" w:cs="Times New Roman"/>
          <w:sz w:val="32"/>
          <w:szCs w:val="32"/>
          <w:lang w:bidi="ar"/>
        </w:rPr>
        <w:t>法定检验的进出口商品，由出入境检验检疫机构依照商检法第七条规定实施检验。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海关总署根据进出口商品检验工作的实际需要和国际标准，可以制定进出口商品检验方法的技术规范和行业标准。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进出口商品检验依照或者参照的技术规范、标准以及检验方法的技术规范和标准，应当至少在实施之日6个月前公布；在紧急情况下，应当不迟于实施之日公布。</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第八条　</w:t>
      </w:r>
      <w:r>
        <w:rPr>
          <w:rFonts w:hint="eastAsia" w:ascii="仿宋_GB2312" w:hAnsi="Times New Roman" w:eastAsia="仿宋_GB2312" w:cs="Times New Roman"/>
          <w:sz w:val="32"/>
          <w:szCs w:val="32"/>
          <w:lang w:bidi="ar"/>
        </w:rPr>
        <w:t>出入境检验检疫机构根据便利对外贸易的需要，对进出口企业实施分类管理，并按照根据国际通行的合格评定程序确定的检验监管方式，对进出口商品实施检验。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第九条　</w:t>
      </w:r>
      <w:r>
        <w:rPr>
          <w:rFonts w:hint="eastAsia" w:ascii="仿宋_GB2312" w:hAnsi="Times New Roman" w:eastAsia="仿宋_GB2312" w:cs="Times New Roman"/>
          <w:sz w:val="32"/>
          <w:szCs w:val="32"/>
          <w:lang w:bidi="ar"/>
        </w:rPr>
        <w:t>出入境检验检疫机构对进出口商品实施检验的内容，包括是否符合安全、卫生、健康、环境保护、防止欺诈等要求以及相关的品质、数量、重量等项目。</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第十条　</w:t>
      </w:r>
      <w:r>
        <w:rPr>
          <w:rFonts w:hint="eastAsia" w:ascii="仿宋_GB2312" w:hAnsi="Times New Roman" w:eastAsia="仿宋_GB2312" w:cs="Times New Roman"/>
          <w:sz w:val="32"/>
          <w:szCs w:val="32"/>
          <w:lang w:bidi="ar"/>
        </w:rPr>
        <w:t>出入境检验检疫机构依照商检法的规定，对实施许可制度和国家规定必须经过认证的进出口商品实行验证管理，查验单证，核对证货是否相符。</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实行验证管理的进出口商品目录，由海关总署商有关部门后制定、调整并公布。</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第十一条　</w:t>
      </w:r>
      <w:r>
        <w:rPr>
          <w:rFonts w:hint="eastAsia" w:ascii="仿宋_GB2312" w:hAnsi="Times New Roman" w:eastAsia="仿宋_GB2312" w:cs="Times New Roman"/>
          <w:sz w:val="32"/>
          <w:szCs w:val="32"/>
          <w:lang w:bidi="ar"/>
        </w:rPr>
        <w:t>进出口商品的收货人或者发货人可以自行办理报检手续，也可以委托代理报检企业办理报检手续；采用快件方式进出口商品的，收货人或者发货人应当委托出入境快件运营企业办理报检手续。</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第十二条　</w:t>
      </w:r>
      <w:r>
        <w:rPr>
          <w:rFonts w:hint="eastAsia" w:ascii="仿宋_GB2312" w:hAnsi="Times New Roman" w:eastAsia="仿宋_GB2312" w:cs="Times New Roman"/>
          <w:sz w:val="32"/>
          <w:szCs w:val="32"/>
          <w:lang w:bidi="ar"/>
        </w:rPr>
        <w:t>进出口商品的收货人或者发货人办理报检手续，应当依法向出入境检验检疫机构备案。</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第十三条　</w:t>
      </w:r>
      <w:r>
        <w:rPr>
          <w:rFonts w:hint="eastAsia" w:ascii="仿宋_GB2312" w:hAnsi="Times New Roman" w:eastAsia="仿宋_GB2312" w:cs="Times New Roman"/>
          <w:sz w:val="32"/>
          <w:szCs w:val="32"/>
          <w:lang w:bidi="ar"/>
        </w:rPr>
        <w:t>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出入境快件运营企业接受进出口商品的收货人或者发货人的委托，应当以自己的名义办理报检手续，承担与收货人或者发货人相同的法律责任。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第十四条　</w:t>
      </w:r>
      <w:r>
        <w:rPr>
          <w:rFonts w:hint="eastAsia" w:ascii="仿宋_GB2312" w:hAnsi="Times New Roman" w:eastAsia="仿宋_GB2312" w:cs="Times New Roman"/>
          <w:sz w:val="32"/>
          <w:szCs w:val="32"/>
          <w:lang w:bidi="ar"/>
        </w:rPr>
        <w:t>海关总署建立进出口商品风险预警机制，通过收集进出口商品检验方面的信息，进行风险评估，确定风险的类型，采取相应的风险预警措施及快速反应措施。</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海关总署和出入境检验检疫机构应当及时向有关方面提供进出口商品检验方面的信息。</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第十五条　</w:t>
      </w:r>
      <w:r>
        <w:rPr>
          <w:rFonts w:hint="eastAsia" w:ascii="仿宋_GB2312" w:hAnsi="Times New Roman" w:eastAsia="仿宋_GB2312" w:cs="Times New Roman"/>
          <w:sz w:val="32"/>
          <w:szCs w:val="32"/>
          <w:lang w:bidi="ar"/>
        </w:rPr>
        <w:t>出入境检验检疫机构工作人员依法执行职务，有关单位和个人应当予以配合，任何单位和个人不得非法干预和阻挠。</w:t>
      </w:r>
    </w:p>
    <w:p>
      <w:pPr>
        <w:pStyle w:val="2"/>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hint="eastAsia" w:ascii="方正黑体_GBK" w:hAnsi="Times New Roman" w:eastAsia="方正黑体_GBK" w:cs="Times New Roman"/>
          <w:b w:val="0"/>
          <w:bCs/>
        </w:rPr>
      </w:pPr>
      <w:r>
        <w:rPr>
          <w:rFonts w:hint="eastAsia" w:ascii="方正黑体_GBK" w:hAnsi="Times New Roman" w:eastAsia="方正黑体_GBK" w:cs="Times New Roman"/>
          <w:b w:val="0"/>
          <w:bCs/>
        </w:rPr>
        <w:t>第二章　进口商品的检验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第十六条　</w:t>
      </w:r>
      <w:r>
        <w:rPr>
          <w:rFonts w:hint="eastAsia" w:ascii="仿宋_GB2312" w:hAnsi="Times New Roman" w:eastAsia="仿宋_GB2312" w:cs="Times New Roman"/>
          <w:sz w:val="32"/>
          <w:szCs w:val="32"/>
          <w:lang w:bidi="ar"/>
        </w:rPr>
        <w:t>法定检验的进口商品的收货人应当持合同、发票、装箱单、提单等必要的凭证和相关批准文件，向报关地的出入境检验检疫机构报检；通关放行后20日内，收货人应当依照本条例第十八条的规定，向出入境检验检疫机构申请检验。法定检验的进口商品未经检验的，不准销售，不准使用。</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进口实行验证管理的商品，收货人应当向报关地的出入境检验检疫机构申请验证。出入境检验检疫机构按照海关总署的规定实施验证。</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第十七条　</w:t>
      </w:r>
      <w:r>
        <w:rPr>
          <w:rFonts w:hint="eastAsia" w:ascii="仿宋_GB2312" w:hAnsi="Times New Roman" w:eastAsia="仿宋_GB2312" w:cs="Times New Roman"/>
          <w:sz w:val="32"/>
          <w:szCs w:val="32"/>
          <w:lang w:bidi="ar"/>
        </w:rPr>
        <w:t>法定检验的进口商品、实行验证管理的进口商品，海关按照规定办理海关通关手续。</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第十八条　</w:t>
      </w:r>
      <w:r>
        <w:rPr>
          <w:rFonts w:hint="eastAsia" w:ascii="仿宋_GB2312" w:hAnsi="Times New Roman" w:eastAsia="仿宋_GB2312" w:cs="Times New Roman"/>
          <w:sz w:val="32"/>
          <w:szCs w:val="32"/>
          <w:lang w:bidi="ar"/>
        </w:rPr>
        <w:t>法定检验的进口商品应当在收货人报检时申报的目的地检验。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大宗散装商品、易腐烂变质商品、可用作原料的固体废物以及已发生残损、短缺的商品，应当在卸货口岸检验。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对前两款规定的进口商品，海关总署可以根据便利对外贸易和进出口商品检验工作的需要，指定在其他地点检验。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第十九条　</w:t>
      </w:r>
      <w:r>
        <w:rPr>
          <w:rFonts w:hint="eastAsia" w:ascii="仿宋_GB2312" w:hAnsi="Times New Roman" w:eastAsia="仿宋_GB2312" w:cs="Times New Roman"/>
          <w:sz w:val="32"/>
          <w:szCs w:val="32"/>
          <w:lang w:bidi="ar"/>
        </w:rPr>
        <w:t>除法律、行政法规另有规定外，法定检验的进口商品经检验，涉及人身财产安全、健康、环境保护项目不合格的，由出入境检验检疫机构责令当事人销毁，或者出具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出入境检验检疫机构对检验不合格的进口成套设备及其材料，签发不准安装使用通知书。经技术处理，并经出入境检验检疫机构重新检验合格的，方可安装使用。</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第二十条　</w:t>
      </w:r>
      <w:r>
        <w:rPr>
          <w:rFonts w:hint="eastAsia" w:ascii="仿宋_GB2312" w:hAnsi="Times New Roman" w:eastAsia="仿宋_GB2312" w:cs="Times New Roman"/>
          <w:sz w:val="32"/>
          <w:szCs w:val="32"/>
          <w:lang w:bidi="ar"/>
        </w:rPr>
        <w:t>法定检验以外的进口商品，经出入境检验检疫机构抽查检验不合格的，依照本条例第十九条的规定处理。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实行验证管理的进口商品，经出入境检验检疫机构验证不合格的，参照本条例第十九条的规定处理或者移交有关部门处理。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法定检验以外的进口商品的收货人，发现进口商品质量不合格或者残损、短缺，申请出证的，出入境检验检疫机构或者其他检验机构应当在检验后及时出证。</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第二十一条　</w:t>
      </w:r>
      <w:r>
        <w:rPr>
          <w:rFonts w:hint="eastAsia" w:ascii="仿宋_GB2312" w:hAnsi="Times New Roman" w:eastAsia="仿宋_GB2312" w:cs="Times New Roman"/>
          <w:sz w:val="32"/>
          <w:szCs w:val="32"/>
          <w:lang w:bidi="ar"/>
        </w:rPr>
        <w:t>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出入境检验检疫机构可以根据需要派出检验人员参加或者组织实施监造、装运前检验或者监装。</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第二十二条　</w:t>
      </w:r>
      <w:r>
        <w:rPr>
          <w:rFonts w:hint="eastAsia" w:ascii="仿宋_GB2312" w:hAnsi="Times New Roman" w:eastAsia="仿宋_GB2312" w:cs="Times New Roman"/>
          <w:sz w:val="32"/>
          <w:szCs w:val="32"/>
          <w:lang w:bidi="ar"/>
        </w:rPr>
        <w:t>国家对进口可用作原料的固体废物的国外供货商、国内收货人实行注册登记制度，国外供货商、国内收货人在签订对外贸易合同前，应当取得海关总署或者出入境检验检疫机构的注册登记。国家对进口可用作原料的固体废物实行装运前检验制度，进口时，收货人应当提供出入境检验检疫机构或者检验机构出具的装运前检验证书。</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对价值较高，涉及人身财产安全、健康、环境保护项目的高风险进口旧机电产品，应当依照国家有关规定实施装运前检验，进口时，收货人应当提供出入境检验检疫机构或者检验机构出具的装运前检验证书。</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进口可用作原料的固体废物、国家允许进口的旧机电产品到货后，由出入境检验检疫机构依法实施检验。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第二十三条　</w:t>
      </w:r>
      <w:r>
        <w:rPr>
          <w:rFonts w:hint="eastAsia" w:ascii="仿宋_GB2312" w:hAnsi="Times New Roman" w:eastAsia="仿宋_GB2312" w:cs="Times New Roman"/>
          <w:sz w:val="32"/>
          <w:szCs w:val="32"/>
          <w:lang w:bidi="ar"/>
        </w:rPr>
        <w:t>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2"/>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hint="eastAsia" w:ascii="方正黑体_GBK" w:hAnsi="Times New Roman" w:eastAsia="方正黑体_GBK" w:cs="Times New Roman"/>
          <w:b w:val="0"/>
          <w:bCs/>
        </w:rPr>
      </w:pPr>
      <w:r>
        <w:rPr>
          <w:rFonts w:hint="eastAsia" w:ascii="方正黑体_GBK" w:hAnsi="Times New Roman" w:eastAsia="方正黑体_GBK" w:cs="Times New Roman"/>
          <w:b w:val="0"/>
          <w:bCs/>
        </w:rPr>
        <w:t>第三章　出口商品的检验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第二十四条　</w:t>
      </w:r>
      <w:r>
        <w:rPr>
          <w:rFonts w:hint="eastAsia" w:ascii="仿宋_GB2312" w:hAnsi="Times New Roman" w:eastAsia="仿宋_GB2312" w:cs="Times New Roman"/>
          <w:sz w:val="32"/>
          <w:szCs w:val="32"/>
          <w:lang w:bidi="ar"/>
        </w:rPr>
        <w:t>法定检验的出口商品的发货人应当在海关总署统一规定的地点和期限内，持合同等必要的凭证和相关批准文件向出入境检验检疫机构报检。法定检验的出口商品未经检验或者经检验不合格的，不准出口。</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出口商品应当在商品的生产地检验。海关总署可以根据便利对外贸易和进出口商品检验工作的需要，指定在其他地点检验。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出口实行验证管理的商品，发货人应当向出入境检验检疫机构申请验证。出入境检验检疫机构按照海关总署的规定实施验证。</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第二十五条　</w:t>
      </w:r>
      <w:r>
        <w:rPr>
          <w:rFonts w:hint="eastAsia" w:ascii="仿宋_GB2312" w:hAnsi="Times New Roman" w:eastAsia="仿宋_GB2312" w:cs="Times New Roman"/>
          <w:sz w:val="32"/>
          <w:szCs w:val="32"/>
          <w:lang w:bidi="ar"/>
        </w:rPr>
        <w:t>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第二十六条　</w:t>
      </w:r>
      <w:r>
        <w:rPr>
          <w:rFonts w:hint="eastAsia" w:ascii="仿宋_GB2312" w:hAnsi="Times New Roman" w:eastAsia="仿宋_GB2312" w:cs="Times New Roman"/>
          <w:sz w:val="32"/>
          <w:szCs w:val="32"/>
          <w:lang w:bidi="ar"/>
        </w:rPr>
        <w:t>法定检验的出口商品、实行验证管理的出口商品，海关按照规定办理海关通关手续。</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第二十七条　</w:t>
      </w:r>
      <w:r>
        <w:rPr>
          <w:rFonts w:hint="eastAsia" w:ascii="仿宋_GB2312" w:hAnsi="Times New Roman" w:eastAsia="仿宋_GB2312" w:cs="Times New Roman"/>
          <w:sz w:val="32"/>
          <w:szCs w:val="32"/>
          <w:lang w:bidi="ar"/>
        </w:rPr>
        <w:t>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第二十八条　</w:t>
      </w:r>
      <w:r>
        <w:rPr>
          <w:rFonts w:hint="eastAsia" w:ascii="仿宋_GB2312" w:hAnsi="Times New Roman" w:eastAsia="仿宋_GB2312" w:cs="Times New Roman"/>
          <w:sz w:val="32"/>
          <w:szCs w:val="32"/>
          <w:lang w:bidi="ar"/>
        </w:rPr>
        <w:t>法定检验以外的出口商品，经出入境检验检疫机构抽查检验不合格的，依照本条例第二十七条的规定处理。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实行验证管理的出口商品，经出入境检验检疫机构验证不合格的，参照本条例第二十七条的规定处理或者移交有关部门处理。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第二十九条　</w:t>
      </w:r>
      <w:r>
        <w:rPr>
          <w:rFonts w:hint="eastAsia" w:ascii="仿宋_GB2312" w:hAnsi="Times New Roman" w:eastAsia="仿宋_GB2312" w:cs="Times New Roman"/>
          <w:sz w:val="32"/>
          <w:szCs w:val="32"/>
          <w:lang w:bidi="ar"/>
        </w:rPr>
        <w:t>出口危险货物包装容器的生产企业，应当向出入境检验检疫机构申请包装容器的性能鉴定。包装容器经出入境检验检疫机构鉴定合格并取得性能鉴定证书的，方可用于包装危险货物。</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出口危险货物的生产企业，应当向出入境检验检疫机构申请危险货物包装容器的使用鉴定。使用未经鉴定或者经鉴定不合格的包装容器的危险货物，不准出口。</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第三十条　</w:t>
      </w:r>
      <w:r>
        <w:rPr>
          <w:rFonts w:hint="eastAsia" w:ascii="仿宋_GB2312" w:hAnsi="Times New Roman" w:eastAsia="仿宋_GB2312" w:cs="Times New Roman"/>
          <w:sz w:val="32"/>
          <w:szCs w:val="32"/>
          <w:lang w:bidi="ar"/>
        </w:rPr>
        <w:t>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2"/>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hint="eastAsia" w:ascii="方正黑体_GBK" w:hAnsi="Times New Roman" w:eastAsia="方正黑体_GBK" w:cs="Times New Roman"/>
          <w:b w:val="0"/>
          <w:bCs/>
        </w:rPr>
      </w:pPr>
      <w:r>
        <w:rPr>
          <w:rFonts w:hint="eastAsia" w:ascii="方正黑体_GBK" w:hAnsi="Times New Roman" w:eastAsia="方正黑体_GBK" w:cs="Times New Roman"/>
          <w:b w:val="0"/>
          <w:bCs/>
        </w:rPr>
        <w:t>第四章　监督管理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第三十一条　</w:t>
      </w:r>
      <w:r>
        <w:rPr>
          <w:rFonts w:hint="eastAsia" w:ascii="仿宋_GB2312" w:hAnsi="Times New Roman" w:eastAsia="仿宋_GB2312" w:cs="Times New Roman"/>
          <w:sz w:val="32"/>
          <w:szCs w:val="32"/>
          <w:lang w:bidi="ar"/>
        </w:rPr>
        <w:t>出入境检验检疫机构根据便利对外贸易的需要，可以对列入目录的出口商品进行出厂前的质量监督管理和检验。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出入境检验检疫机构进行出厂前的质量监督管理和检验的内容，包括对生产企业的质量保证工作进行监督检查，对出口商品进行出厂前的检验。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第三十二条　</w:t>
      </w:r>
      <w:r>
        <w:rPr>
          <w:rFonts w:hint="eastAsia" w:ascii="仿宋_GB2312" w:hAnsi="Times New Roman" w:eastAsia="仿宋_GB2312" w:cs="Times New Roman"/>
          <w:sz w:val="32"/>
          <w:szCs w:val="32"/>
          <w:lang w:bidi="ar"/>
        </w:rPr>
        <w:t>国家对进出口食品生产企业实施卫生注册登记管理。获得卫生注册登记的出口食品生产企业，方可生产、加工、储存出口食品。获得卫生注册登记的进出口食品生产企业生产的食品，方可进口或者出口。</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实施卫生注册登记管理的进口食品生产企业，应当按照规定向海关总署申请卫生注册登记。</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实施卫生注册登记管理的出口食品生产企业，应当按照规定向出入境检验检疫机构申请卫生注册登记。</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出口食品生产企业需要在国外卫生注册的，依照本条第三款规定进行卫生注册登记后，由海关总署统一对外办理。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第三十三条　</w:t>
      </w:r>
      <w:r>
        <w:rPr>
          <w:rFonts w:hint="eastAsia" w:ascii="仿宋_GB2312" w:hAnsi="Times New Roman" w:eastAsia="仿宋_GB2312" w:cs="Times New Roman"/>
          <w:sz w:val="32"/>
          <w:szCs w:val="32"/>
          <w:lang w:bidi="ar"/>
        </w:rPr>
        <w:t>出入境检验检疫机构根据需要，对检验合格的进出口商品加施商检标志，对检验合格的以及其他需要加施封识的进出口商品加施封识。具体办法由海关总署制定。</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第三十四条　</w:t>
      </w:r>
      <w:r>
        <w:rPr>
          <w:rFonts w:hint="eastAsia" w:ascii="仿宋_GB2312" w:hAnsi="Times New Roman" w:eastAsia="仿宋_GB2312" w:cs="Times New Roman"/>
          <w:sz w:val="32"/>
          <w:szCs w:val="32"/>
          <w:lang w:bidi="ar"/>
        </w:rPr>
        <w:t>出入境检验检疫机构按照有关规定对检验的进出口商品抽取样品。验余的样品，出入境检验检疫机构应当通知有关单位在规定的期限内领回；逾期不领回的，由出入境检验检疫机构处理。</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第三十五条　</w:t>
      </w:r>
      <w:r>
        <w:rPr>
          <w:rFonts w:hint="eastAsia" w:ascii="仿宋_GB2312" w:hAnsi="Times New Roman" w:eastAsia="仿宋_GB2312" w:cs="Times New Roman"/>
          <w:sz w:val="32"/>
          <w:szCs w:val="32"/>
          <w:lang w:bidi="ar"/>
        </w:rPr>
        <w:t>进出口商品的报检人对出入境检验检疫机构作出的检验结果有异议的，可以自收到检验结果之日起15日内，向作出检验结果的出入境检验检疫机构或者其上级出入境检验检疫机构以至海关总署申请复验，受理复验的出入境检验检疫机构或者海关总署应当自收到复验申请之日起60日内作出复验结论。技术复杂，不能在规定期限内作出复验结论的，经本机构负责人批准，可以适当延长，但是延长期限最多不超过30日。</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第三十六条　</w:t>
      </w:r>
      <w:r>
        <w:rPr>
          <w:rFonts w:hint="eastAsia" w:ascii="仿宋_GB2312" w:hAnsi="Times New Roman" w:eastAsia="仿宋_GB2312" w:cs="Times New Roman"/>
          <w:sz w:val="32"/>
          <w:szCs w:val="32"/>
          <w:lang w:bidi="ar"/>
        </w:rPr>
        <w:t>海关总署或者出入境检验检疫机构根据进出口商品检验工作的需要，可以指定符合规定资质条件的国内外检测机构承担出入境检验检疫机构委托的进出口商品检测。被指定的检测机构经检查不符合规定要求的，海关总署或者出入境检验检疫机构可以取消指定。</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第三十七条　</w:t>
      </w:r>
      <w:r>
        <w:rPr>
          <w:rFonts w:hint="eastAsia" w:ascii="仿宋_GB2312" w:hAnsi="Times New Roman" w:eastAsia="仿宋_GB2312" w:cs="Times New Roman"/>
          <w:sz w:val="32"/>
          <w:szCs w:val="32"/>
          <w:lang w:bidi="ar"/>
        </w:rPr>
        <w:t>对检验机构的检验鉴定业务活动有异议的，可以向海关总署或者出入境检验检疫机构投诉。</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第三十八条　</w:t>
      </w:r>
      <w:r>
        <w:rPr>
          <w:rFonts w:hint="eastAsia" w:ascii="仿宋_GB2312" w:hAnsi="Times New Roman" w:eastAsia="仿宋_GB2312" w:cs="Times New Roman"/>
          <w:sz w:val="32"/>
          <w:szCs w:val="32"/>
          <w:lang w:bidi="ar"/>
        </w:rPr>
        <w:t>海关总署、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第三十九条　</w:t>
      </w:r>
      <w:r>
        <w:rPr>
          <w:rFonts w:hint="eastAsia" w:ascii="仿宋_GB2312" w:hAnsi="Times New Roman" w:eastAsia="仿宋_GB2312" w:cs="Times New Roman"/>
          <w:sz w:val="32"/>
          <w:szCs w:val="32"/>
          <w:lang w:bidi="ar"/>
        </w:rPr>
        <w:t>海关总署、出入境检验检疫机构应当根据便利对外贸易的需要，采取有效措施，简化程序，方便进出口。</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办理进出口商品报检、检验、鉴定等手续，符合条件的，可以采用电子数据文件的形式。</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第四十条　</w:t>
      </w:r>
      <w:r>
        <w:rPr>
          <w:rFonts w:hint="eastAsia" w:ascii="仿宋_GB2312" w:hAnsi="Times New Roman" w:eastAsia="仿宋_GB2312" w:cs="Times New Roman"/>
          <w:sz w:val="32"/>
          <w:szCs w:val="32"/>
          <w:lang w:bidi="ar"/>
        </w:rPr>
        <w:t>出入境检验检疫机构依照有关法律、行政法规的规定，签发出口货物普惠制原产地证明、区域性优惠原产地证明、专用原产地证明。</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出口货物一般原产地证明的签发，依照有关法律、行政法规的规定执行。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第四十一条　</w:t>
      </w:r>
      <w:r>
        <w:rPr>
          <w:rFonts w:hint="eastAsia" w:ascii="仿宋_GB2312" w:hAnsi="Times New Roman" w:eastAsia="仿宋_GB2312" w:cs="Times New Roman"/>
          <w:sz w:val="32"/>
          <w:szCs w:val="32"/>
          <w:lang w:bidi="ar"/>
        </w:rPr>
        <w:t>出入境检验检疫机构对进出保税区、出口加工区等海关特殊监管区域的货物以及边境小额贸易进出口商品的检验管理，由海关总署另行制定办法。</w:t>
      </w:r>
    </w:p>
    <w:p>
      <w:pPr>
        <w:pStyle w:val="2"/>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hint="eastAsia" w:ascii="方正黑体_GBK" w:hAnsi="Times New Roman" w:eastAsia="方正黑体_GBK" w:cs="Times New Roman"/>
          <w:b w:val="0"/>
          <w:bCs/>
        </w:rPr>
      </w:pPr>
      <w:r>
        <w:rPr>
          <w:rFonts w:hint="eastAsia" w:ascii="方正黑体_GBK" w:hAnsi="Times New Roman" w:eastAsia="方正黑体_GBK" w:cs="Times New Roman"/>
          <w:b w:val="0"/>
          <w:bCs/>
        </w:rPr>
        <w:t>第五章　法律责任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第四十二条　</w:t>
      </w:r>
      <w:r>
        <w:rPr>
          <w:rFonts w:hint="eastAsia" w:ascii="仿宋_GB2312" w:hAnsi="Times New Roman" w:eastAsia="仿宋_GB2312" w:cs="Times New Roman"/>
          <w:sz w:val="32"/>
          <w:szCs w:val="32"/>
          <w:lang w:bidi="ar"/>
        </w:rPr>
        <w:t>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第四十三条　</w:t>
      </w:r>
      <w:r>
        <w:rPr>
          <w:rFonts w:hint="eastAsia" w:ascii="仿宋_GB2312" w:hAnsi="Times New Roman" w:eastAsia="仿宋_GB2312" w:cs="Times New Roman"/>
          <w:sz w:val="32"/>
          <w:szCs w:val="32"/>
          <w:lang w:bidi="ar"/>
        </w:rPr>
        <w:t>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第四十四条　</w:t>
      </w:r>
      <w:r>
        <w:rPr>
          <w:rFonts w:hint="eastAsia" w:ascii="仿宋_GB2312" w:hAnsi="Times New Roman" w:eastAsia="仿宋_GB2312" w:cs="Times New Roman"/>
          <w:sz w:val="32"/>
          <w:szCs w:val="32"/>
          <w:lang w:bidi="ar"/>
        </w:rPr>
        <w:t>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第四十五条　</w:t>
      </w:r>
      <w:r>
        <w:rPr>
          <w:rFonts w:hint="eastAsia" w:ascii="仿宋_GB2312" w:hAnsi="Times New Roman" w:eastAsia="仿宋_GB2312" w:cs="Times New Roman"/>
          <w:sz w:val="32"/>
          <w:szCs w:val="32"/>
          <w:lang w:bidi="ar"/>
        </w:rPr>
        <w:t>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第四十六条　</w:t>
      </w:r>
      <w:r>
        <w:rPr>
          <w:rFonts w:hint="eastAsia" w:ascii="仿宋_GB2312" w:hAnsi="Times New Roman" w:eastAsia="仿宋_GB2312" w:cs="Times New Roman"/>
          <w:sz w:val="32"/>
          <w:szCs w:val="32"/>
          <w:lang w:bidi="ar"/>
        </w:rPr>
        <w:t>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第四十七条　</w:t>
      </w:r>
      <w:r>
        <w:rPr>
          <w:rFonts w:hint="eastAsia" w:ascii="仿宋_GB2312" w:hAnsi="Times New Roman" w:eastAsia="仿宋_GB2312" w:cs="Times New Roman"/>
          <w:sz w:val="32"/>
          <w:szCs w:val="32"/>
          <w:lang w:bidi="ar"/>
        </w:rPr>
        <w:t>擅自调换出入境检验检疫机构抽取的样品或者出入境检验检疫机构检验合格的进出口商品的，由出入境检验检疫机构责令改正，给予警告；情节严重的，并处商品货值金额10%以上50%以下罚款。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第四十八条　</w:t>
      </w:r>
      <w:r>
        <w:rPr>
          <w:rFonts w:hint="eastAsia" w:ascii="仿宋_GB2312" w:hAnsi="Times New Roman" w:eastAsia="仿宋_GB2312" w:cs="Times New Roman"/>
          <w:sz w:val="32"/>
          <w:szCs w:val="32"/>
          <w:lang w:bidi="ar"/>
        </w:rPr>
        <w:t>进口或者出口国家实行卫生注册登记管理而未获得卫生注册登记的生产企业生产的食品的，由出入境检验检疫机构责令停止进口或者出口，没收违法所得，并处商品货值金额10%以上50%以下罚款。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已获得卫生注册登记的进出口食品生产企业，经检查不符合规定要求的，由海关总署或者出入境检验检疫机构责令限期整改；整改仍未达到规定要求或者有其他违法行为，情节严重的，吊销其卫生注册登记证书。</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第四十九条　</w:t>
      </w:r>
      <w:r>
        <w:rPr>
          <w:rFonts w:hint="eastAsia" w:ascii="仿宋_GB2312" w:hAnsi="Times New Roman" w:eastAsia="仿宋_GB2312" w:cs="Times New Roman"/>
          <w:sz w:val="32"/>
          <w:szCs w:val="32"/>
          <w:lang w:bidi="ar"/>
        </w:rPr>
        <w:t>进口可用作原料的固体废物，国外供货商、国内收货人未取得注册登记，或者未进行装运前检验的，按照国家有关规定责令退货；情节严重的，由出入境检验检疫机构并处10万元以上100万元以下罚款。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已获得注册登记的可用作原料的固体废物的国外供货商、国内收货人违反国家有关规定，情节严重的，由出入境检验检疫机构撤销其注册登记。</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进口国家允许进口的旧机电产品未按照规定进行装运前检验的，按照国家有关规定予以退货；情节严重的，由出入境检验检疫机构并处100万元以下罚款。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第五十条　</w:t>
      </w:r>
      <w:r>
        <w:rPr>
          <w:rFonts w:hint="eastAsia" w:ascii="仿宋_GB2312" w:hAnsi="Times New Roman" w:eastAsia="仿宋_GB2312" w:cs="Times New Roman"/>
          <w:sz w:val="32"/>
          <w:szCs w:val="32"/>
          <w:lang w:bidi="ar"/>
        </w:rPr>
        <w:t>提供或者使用未经出入境检验检疫机构鉴定的出口危险货物包装容器的，由出入境检验检疫机构处10万元以下罚款。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提供或者使用经出入境检验检疫机构鉴定不合格的包装容器装运出口危险货物的，由出入境检验检疫机构处20万元以下罚款。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第五十一条　</w:t>
      </w:r>
      <w:r>
        <w:rPr>
          <w:rFonts w:hint="eastAsia" w:ascii="仿宋_GB2312" w:hAnsi="Times New Roman" w:eastAsia="仿宋_GB2312" w:cs="Times New Roman"/>
          <w:sz w:val="32"/>
          <w:szCs w:val="32"/>
          <w:lang w:bidi="ar"/>
        </w:rPr>
        <w:t>提供或者使用未经出入境检验检疫机构适载检验的集装箱、船舱、飞机、车辆等运载工具装运易腐烂变质食品、冷冻品出口的，由出入境检验检疫机构处10万元以下罚款。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提供或者使用经出入境检验检疫机构检验不合格的集装箱、船舱、飞机、车辆等运载工具装运易腐烂变质食品、冷冻品出口的，由出入境检验检疫机构处20万元以下罚款。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第五十二条　</w:t>
      </w:r>
      <w:r>
        <w:rPr>
          <w:rFonts w:hint="eastAsia" w:ascii="仿宋_GB2312" w:hAnsi="Times New Roman" w:eastAsia="仿宋_GB2312" w:cs="Times New Roman"/>
          <w:sz w:val="32"/>
          <w:szCs w:val="32"/>
          <w:lang w:bidi="ar"/>
        </w:rPr>
        <w:t>擅自调换、损毁出入境检验检疫机构加施的商检标志、封识的，由出入境检验检疫机构处5万元以下罚款。</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第五十三条　</w:t>
      </w:r>
      <w:r>
        <w:rPr>
          <w:rFonts w:hint="eastAsia" w:ascii="仿宋_GB2312" w:hAnsi="Times New Roman" w:eastAsia="仿宋_GB2312" w:cs="Times New Roman"/>
          <w:sz w:val="32"/>
          <w:szCs w:val="32"/>
          <w:lang w:bidi="ar"/>
        </w:rPr>
        <w:t>从事进出口商品检验鉴定业务的检验机构违反国家有关规定，扰乱检验鉴定秩序的，由出入境检验检疫机构责令改正，没收违法所得，可以并处10万元以下罚款，海关总署或者出入境检验检疫机构可以暂停其6个月以内检验鉴定业务。</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第五十四条　</w:t>
      </w:r>
      <w:r>
        <w:rPr>
          <w:rFonts w:hint="eastAsia" w:ascii="仿宋_GB2312" w:hAnsi="Times New Roman" w:eastAsia="仿宋_GB2312" w:cs="Times New Roman"/>
          <w:sz w:val="32"/>
          <w:szCs w:val="32"/>
          <w:lang w:bidi="ar"/>
        </w:rPr>
        <w:t>代理报检企业、出入境快件运营企业违反国家有关规定，扰乱报检秩序的，由出入境检验检疫机构责令改正，没收违法所得，可以处10万元以下罚款，海关总署或者出入境检验检疫机构可以暂停其6个月以内代理报检业务。</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第五十五条　</w:t>
      </w:r>
      <w:r>
        <w:rPr>
          <w:rFonts w:hint="eastAsia" w:ascii="仿宋_GB2312" w:hAnsi="Times New Roman" w:eastAsia="仿宋_GB2312" w:cs="Times New Roman"/>
          <w:sz w:val="32"/>
          <w:szCs w:val="32"/>
          <w:lang w:bidi="ar"/>
        </w:rPr>
        <w:t>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第五十六条　</w:t>
      </w:r>
      <w:r>
        <w:rPr>
          <w:rFonts w:hint="eastAsia" w:ascii="仿宋_GB2312" w:hAnsi="Times New Roman" w:eastAsia="仿宋_GB2312" w:cs="Times New Roman"/>
          <w:sz w:val="32"/>
          <w:szCs w:val="32"/>
          <w:lang w:bidi="ar"/>
        </w:rPr>
        <w:t>出入境检验检疫机构对没收的商品依法予以处理所得价款、没收的违法所得、收缴的罚款，全部上缴国库。</w:t>
      </w:r>
    </w:p>
    <w:p>
      <w:pPr>
        <w:pStyle w:val="2"/>
        <w:pageBreakBefore w:val="0"/>
        <w:widowControl w:val="0"/>
        <w:kinsoku/>
        <w:wordWrap/>
        <w:overflowPunct/>
        <w:topLinePunct w:val="0"/>
        <w:autoSpaceDE/>
        <w:autoSpaceDN/>
        <w:bidi w:val="0"/>
        <w:adjustRightInd/>
        <w:snapToGrid/>
        <w:spacing w:before="0" w:beforeAutospacing="0" w:after="0" w:afterAutospacing="0" w:line="576" w:lineRule="auto"/>
        <w:jc w:val="center"/>
        <w:textAlignment w:val="auto"/>
        <w:rPr>
          <w:rFonts w:hint="eastAsia" w:ascii="方正黑体_GBK" w:hAnsi="Times New Roman" w:eastAsia="方正黑体_GBK" w:cs="Times New Roman"/>
          <w:b w:val="0"/>
          <w:bCs/>
        </w:rPr>
      </w:pPr>
      <w:r>
        <w:rPr>
          <w:rFonts w:hint="eastAsia" w:ascii="方正黑体_GBK" w:hAnsi="Times New Roman" w:eastAsia="方正黑体_GBK" w:cs="Times New Roman"/>
          <w:b w:val="0"/>
          <w:bCs/>
        </w:rPr>
        <w:t>第六章　附　　则</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第五十七条　</w:t>
      </w:r>
      <w:r>
        <w:rPr>
          <w:rFonts w:hint="eastAsia" w:ascii="仿宋_GB2312" w:hAnsi="Times New Roman" w:eastAsia="仿宋_GB2312" w:cs="Times New Roman"/>
          <w:sz w:val="32"/>
          <w:szCs w:val="32"/>
          <w:lang w:bidi="ar"/>
        </w:rPr>
        <w:t>当事人对出入境检验检疫机构、海关总署作出的复验结论、处罚决定不服的，可以依法申请行政复议，也可以依法向人民法院提起诉讼。</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当事人逾期不履行处罚决定，又不申请行政复议或者向人民法院提起诉讼的，作出处罚决定的机构可以申请人民法院强制执行。</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第五十八条　</w:t>
      </w:r>
      <w:r>
        <w:rPr>
          <w:rFonts w:hint="eastAsia" w:ascii="仿宋_GB2312" w:hAnsi="Times New Roman" w:eastAsia="仿宋_GB2312" w:cs="Times New Roman"/>
          <w:sz w:val="32"/>
          <w:szCs w:val="32"/>
          <w:lang w:bidi="ar"/>
        </w:rPr>
        <w:t>出入境检验检疫机构实施法定检验、依法设立的检验机构办理检验鉴定业务，按照国家有关规定收取费用。</w:t>
      </w:r>
    </w:p>
    <w:p>
      <w:pPr>
        <w:pStyle w:val="6"/>
        <w:pageBreakBefore w:val="0"/>
        <w:widowControl w:val="0"/>
        <w:kinsoku/>
        <w:wordWrap/>
        <w:overflowPunct/>
        <w:topLinePunct w:val="0"/>
        <w:autoSpaceDE/>
        <w:autoSpaceDN/>
        <w:bidi w:val="0"/>
        <w:adjustRightInd/>
        <w:snapToGrid/>
        <w:spacing w:beforeAutospacing="0" w:afterAutospacing="0"/>
        <w:ind w:firstLine="640" w:firstLineChars="200"/>
        <w:textAlignment w:val="auto"/>
      </w:pPr>
      <w:r>
        <w:rPr>
          <w:rFonts w:hint="eastAsia" w:ascii="方正黑体_GBK" w:hAnsi="方正黑体_GBK" w:eastAsia="方正黑体_GBK" w:cs="方正黑体_GBK"/>
          <w:sz w:val="32"/>
          <w:szCs w:val="32"/>
          <w:lang w:bidi="ar"/>
        </w:rPr>
        <w:t>第五十九条　</w:t>
      </w:r>
      <w:r>
        <w:rPr>
          <w:rFonts w:hint="eastAsia" w:ascii="仿宋_GB2312" w:hAnsi="Times New Roman" w:eastAsia="仿宋_GB2312" w:cs="Times New Roman"/>
          <w:sz w:val="32"/>
          <w:szCs w:val="32"/>
          <w:lang w:bidi="ar"/>
        </w:rPr>
        <w:t>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30DA7825"/>
    <w:rsid w:val="00515065"/>
    <w:rsid w:val="005807A8"/>
    <w:rsid w:val="00783A9C"/>
    <w:rsid w:val="007D4072"/>
    <w:rsid w:val="008E74C3"/>
    <w:rsid w:val="00A42C1B"/>
    <w:rsid w:val="00A8540D"/>
    <w:rsid w:val="00C844D2"/>
    <w:rsid w:val="00F03330"/>
    <w:rsid w:val="00F71FEF"/>
    <w:rsid w:val="02A429BD"/>
    <w:rsid w:val="07043A2A"/>
    <w:rsid w:val="09B01C47"/>
    <w:rsid w:val="1229040C"/>
    <w:rsid w:val="15B176E7"/>
    <w:rsid w:val="188417AA"/>
    <w:rsid w:val="18950986"/>
    <w:rsid w:val="1B9273FE"/>
    <w:rsid w:val="1C426F6D"/>
    <w:rsid w:val="1CF163A7"/>
    <w:rsid w:val="1D9A07EC"/>
    <w:rsid w:val="1E37428D"/>
    <w:rsid w:val="1FE009CB"/>
    <w:rsid w:val="27427F2B"/>
    <w:rsid w:val="291E49C7"/>
    <w:rsid w:val="2DD61DB7"/>
    <w:rsid w:val="2F8C4439"/>
    <w:rsid w:val="30DA7825"/>
    <w:rsid w:val="31336B36"/>
    <w:rsid w:val="33DA4CA7"/>
    <w:rsid w:val="3BDC22A4"/>
    <w:rsid w:val="45ED50AE"/>
    <w:rsid w:val="46FE3A16"/>
    <w:rsid w:val="483B0352"/>
    <w:rsid w:val="4D40640B"/>
    <w:rsid w:val="5100038B"/>
    <w:rsid w:val="557C38E2"/>
    <w:rsid w:val="5ED003DF"/>
    <w:rsid w:val="61176028"/>
    <w:rsid w:val="61E11B13"/>
    <w:rsid w:val="6A933BC6"/>
    <w:rsid w:val="6CC75672"/>
    <w:rsid w:val="6EBF15B9"/>
    <w:rsid w:val="77FD1554"/>
    <w:rsid w:val="7BE716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7624</Words>
  <Characters>7695</Characters>
  <Lines>55</Lines>
  <Paragraphs>15</Paragraphs>
  <TotalTime>10</TotalTime>
  <ScaleCrop>false</ScaleCrop>
  <LinksUpToDate>false</LinksUpToDate>
  <CharactersWithSpaces>7769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阿拉灯神丁</cp:lastModifiedBy>
  <cp:lastPrinted>2019-05-25T09:53:00Z</cp:lastPrinted>
  <dcterms:modified xsi:type="dcterms:W3CDTF">2023-05-11T02:42:18Z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AC50F5947AF3473791E4EEA8D03B75B5_13</vt:lpwstr>
  </property>
</Properties>
</file>