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地下水管理条例</w:t>
      </w:r>
    </w:p>
    <w:p>
      <w:pPr>
        <w:widowControl/>
        <w:spacing w:line="500" w:lineRule="exact"/>
        <w:jc w:val="center"/>
        <w:rPr>
          <w:rFonts w:ascii="宋体" w:hAnsi="宋体" w:cs="宋体"/>
          <w:color w:val="333333"/>
          <w:sz w:val="44"/>
          <w:szCs w:val="44"/>
          <w:shd w:val="clear" w:color="auto" w:fill="FFFFFF"/>
        </w:rPr>
      </w:pPr>
    </w:p>
    <w:p>
      <w:pPr>
        <w:pStyle w:val="3"/>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Cs/>
          <w:sz w:val="32"/>
          <w:szCs w:val="32"/>
          <w:shd w:val="clear" w:color="auto" w:fill="FFFFFF"/>
        </w:rPr>
      </w:pPr>
      <w:r>
        <w:rPr>
          <w:rFonts w:hint="eastAsia" w:ascii="楷体_GB2312" w:hAnsi="楷体_GB2312" w:eastAsia="楷体_GB2312" w:cs="楷体_GB2312"/>
          <w:bCs/>
          <w:sz w:val="32"/>
          <w:szCs w:val="32"/>
          <w:shd w:val="clear" w:color="auto" w:fill="FFFFFF"/>
          <w:lang w:eastAsia="zh-CN"/>
        </w:rPr>
        <w:t>　　</w:t>
      </w:r>
      <w:r>
        <w:rPr>
          <w:rFonts w:hint="eastAsia" w:ascii="楷体_GB2312" w:hAnsi="楷体_GB2312" w:eastAsia="楷体_GB2312" w:cs="楷体_GB2312"/>
          <w:bCs/>
          <w:sz w:val="32"/>
          <w:szCs w:val="32"/>
          <w:shd w:val="clear" w:color="auto" w:fill="FFFFFF"/>
        </w:rPr>
        <w:t>(</w:t>
      </w:r>
      <w:r>
        <w:rPr>
          <w:rFonts w:hint="eastAsia" w:ascii="楷体_GB2312" w:hAnsi="楷体_GB2312" w:eastAsia="楷体_GB2312" w:cs="楷体_GB2312"/>
          <w:sz w:val="32"/>
          <w:szCs w:val="32"/>
        </w:rPr>
        <w:t>2021年9月15日国务院第149次常务会议通过</w:t>
      </w:r>
      <w:r>
        <w:rPr>
          <w:rFonts w:hint="eastAsia" w:ascii="楷体_GB2312" w:hAnsi="楷体_GB2312" w:eastAsia="楷体_GB2312" w:cs="楷体_GB2312"/>
          <w:sz w:val="32"/>
          <w:szCs w:val="32"/>
          <w:lang w:val="en-US" w:eastAsia="zh-CN"/>
        </w:rPr>
        <w:t>　</w:t>
      </w:r>
      <w:r>
        <w:rPr>
          <w:rFonts w:hint="eastAsia" w:ascii="楷体_GB2312" w:hAnsi="楷体_GB2312" w:eastAsia="楷体_GB2312" w:cs="楷体_GB2312"/>
          <w:sz w:val="32"/>
          <w:szCs w:val="32"/>
        </w:rPr>
        <w:t>2021年10月21日中华人民共和国国务院令第748号公布</w:t>
      </w:r>
      <w:r>
        <w:rPr>
          <w:rFonts w:hint="eastAsia" w:ascii="楷体_GB2312" w:hAnsi="楷体_GB2312" w:eastAsia="楷体_GB2312" w:cs="楷体_GB2312"/>
          <w:sz w:val="32"/>
          <w:szCs w:val="32"/>
          <w:lang w:val="en-US" w:eastAsia="zh-CN"/>
        </w:rPr>
        <w:t>　</w:t>
      </w:r>
      <w:r>
        <w:rPr>
          <w:rFonts w:hint="eastAsia" w:ascii="楷体_GB2312" w:hAnsi="楷体_GB2312" w:eastAsia="楷体_GB2312" w:cs="楷体_GB2312"/>
          <w:sz w:val="32"/>
          <w:szCs w:val="32"/>
        </w:rPr>
        <w:t>自2021年12月1日起施行</w:t>
      </w:r>
      <w:r>
        <w:rPr>
          <w:rFonts w:hint="eastAsia" w:ascii="楷体_GB2312" w:hAnsi="楷体_GB2312" w:eastAsia="楷体_GB2312" w:cs="楷体_GB2312"/>
          <w:bCs/>
          <w:sz w:val="32"/>
          <w:szCs w:val="32"/>
          <w:shd w:val="clear" w:color="auto" w:fill="FFFFFF"/>
        </w:rPr>
        <w:t>)</w:t>
      </w:r>
    </w:p>
    <w:p>
      <w:pPr>
        <w:pStyle w:val="3"/>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cs="Times New Roman"/>
        </w:rPr>
        <w:t>第一章　总　　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为了加强地下水管理，防治地下水超采和污染，保障地下水质量和可持续利用，推进生态文明建设，根据《中华人民共和国水法》和《中华人民共和国水污染防治法》等法律，制定本条例。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地下水调查与规划、节约与保护、超采治理、污染防治、监督管理等活动，适用本条例。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本条例所称地下水，是指赋存于地表以下的水。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地下水管理坚持统筹规划、节水优先、高效利用、系统治理的原则。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国务院水行政主管部门负责全国地下水统一监督管理工作。国务院生态环境主管部门负责全国地下水污染防治监督管理工作。国务院自然资源等主管部门按照职责分工做好地下水调查、监测等相关工作。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县级以上地方人民政府对本行政区域内的地下水管理负责，应当将地下水管理纳入本级国民经济和社会发展规划，并采取控制开采量、防治污染等措施，维持地下水合理水位，保护地下水水质。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主管部门按照管理权限，负责本行政区域内地下水统一监督管理工作。地方人民政府生态环境主管部门负责本行政区域内地下水污染防治监督管理工作。县级以上地方人民政府自然资源等主管部门按照职责分工做好本行政区域内地下水调查、监测等相关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利用地下水的单位和个人应当加强地下水取水工程管理，节约、保护地下水，防止地下水污染。</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国务院对省、自治区、直辖市地下水管理和保护情况实行目标责任制和考核评价制度。国务院有关部门按照职责分工负责考核评价工作的具体组织实施。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任何单位和个人都有权对损害地下水的行为进行监督、检举。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对在节约、保护和管理地下水工作中作出突出贡献的单位和个人，按照国家有关规定给予表彰和奖励。</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国家加强对地下水节约和保护的宣传教育，鼓励、支持地下水先进科学技术的研究、推广和应用。</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第二章　调查与规划</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国家定期组织开展地下水状况调查评价工作。地下水状况调查评价包括地下水资源调查评价、地下水污染调查评价和水文地质勘查评价等内容。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人民政府应当组织水行政、自然资源、生态环境等主管部门开展地下水状况调查评价工作。调查评价成果是编制地下水保护利用和污染防治等规划以及管理地下水的重要依据。调查评价成果应当依法向社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人民政府水行政、自然资源、生态环境等主管部门根据地下水状况调查评价成果，统筹考虑经济社会发展需要、地下水资源状况、污染防治等因素，编制本级地下水保护利用和污染防治等规划，依法履行征求意见、论证评估等程序后向社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地下水保护利用和污染防治等规划是节约、保护、利用、修复治理地下水的基本依据。地下水保护利用和污染防治等规划应当服从水资源综合规划和环境保护规划。</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国民经济和社会发展规划以及国土空间规划等相关规划的编制、重大建设项目的布局，应当与地下水资源条件和地下水保护要求相适应，并进行科学论证。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编制工业、农业、市政、能源、矿产资源开发等专项规划，涉及地下水的内容，应当与地下水保护利用和污染防治等规划相衔接。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国家建立地下水储备制度。国务院水行政主管部门应当会同国务院自然资源、发展改革等主管部门，对地下水储备工作进行指导、协调和监督检查。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县级以上地方人民政府水行政主管部门应当会同本级人民政府自然资源、发展改革等主管部门，根据本行政区域内地下水条件、气候状况和水资源储备需要，制定动用地下水储备预案并报本级人民政府批准。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除特殊干旱年份以及发生重大突发事件外，不得动用地下水储备。</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第三章　节约与保护</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实行地下水取水总量控制制度。国务院水行政主管部门会同国务院自然资源主管部门，根据各省、自治区、直辖市地下水可开采量和地表水水资源状况，制定并下达各省、自治区、直辖市地下水取水总量控制指标。</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省、自治区、直辖市人民政府水行政主管部门应当会同本级人民政府有关部门，根据国家下达的地下水取水总量控制指标，制定本行政区域内县级以上行政区域的地下水取水总量控制指标和地下水水位控制指标，经省、自治区、直辖市人民政府批准后下达实施，并报国务院水行政主管部门或者其授权的流域管理机构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省、自治区、直辖市人民政府水行政主管部门制定本行政区域内地下水取水总量控制指标和地下水水位控制指标时，涉及省际边界区域且属于同一水文地质单元的，应当与相邻省、自治区、直辖市人民政府水行政主管部门协商确定。协商不成的，由国务院水行政主管部门会同国务院有关部门确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县级以上地方人民政府应当根据地下水取水总量控制指标、地下水水位控制指标和国家相关技术标准，合理确定本行政区域内地下水取水工程布局。</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县级以上地方人民政府水行政主管部门应当根据本行政区域内地下水取水总量控制指标、地下水水位控制指标以及科学分析测算的地下水需求量和用水结构，制定地下水年度取水计划，对本行政区域内的年度取用地下水实行总量控制，并报上一级人民政府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取用地下水的单位和个人应当遵守取水总量控制和定额管理要求，使用先进节约用水技术、工艺和设备，采取循环用水、综合利用及废水处理回用等措施，实施技术改造，降低用水消耗。</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对下列工艺、设备和产品，应当在规定的期限内停止生产、销售、进口或者使用：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(一)列入淘汰落后的、耗水量高的工艺、设备和产品名录的；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(二)列入限期禁止采用的严重污染水环境的工艺名录和限期禁止生产、销售、进口、使用的严重污染水环境的设备名录的。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新建、改建、扩建地下水取水工程，应当同时安装计量设施。已有地下水取水工程未安装计量设施的，应当按照县级以上地方人民政府水行政主管部门规定的期限安装。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取用地下水量达到取水规模以上的，应当安装地下水取水在线计量设施，并将计量数据实时传输到有管理权限的水行政主管部门。取水规模由省、自治区、直辖市人民政府水行政主管部门制定、公布，并报国务院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根据国民经济和社会发展需要，对取用地下水的单位和个人试点征收水资源税。地下水水资源税根据当地地下水资源状况、取用水类型和经济发展等情况实行差别税率，合理提高征收标准。征收水资源税的，停止征收水资源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试点征收水资源税的省、自治区、直辖市，对同一类型取用水，地下水的水资源费征收标准应当高于地表水的标准，地下水超采区的水资源费征收标准应当高于非超采区的标准，地下水严重超采区的水资源费征收标准应当大幅高于非超采区的标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有下列情形之一的，对取用地下水的取水许可申请不予批准：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(一)不符合地下水取水总量控制、地下水水位控制要求；</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(二)不符合限制开采区取用水规定；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(三)不符合行业用水定额和节水规定；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(四)不符合强制性国家标准；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(五)水资源紧缺或者生态脆弱地区新建、改建、扩建高耗水项目；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(六)违反法律、法规的规定开垦种植而取用地下水。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建设单位和个人应当采取措施防止地下工程建设对地下水补给、径流、排泄等造成重大不利影响。对开挖达到一定深度或者达到一定排水规模的地下工程，建设单位和个人应当于工程开工前，将工程建设方案和防止对地下水产生不利影响的措施方案报有管理权限的水行政主管部门备案。开挖深度和排水规模由省、自治区、直辖市人民政府制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除下列情形外，禁止开采难以更新的地下水：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(一)应急供水取水；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(二)无替代水源地区的居民生活用水；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已经开采的，除前款规定的情形外，有关县级以上地方人民政府应当采取禁止开采、限制开采措施，逐步实现全面禁止开采；</w:t>
      </w:r>
      <w:bookmarkStart w:id="0" w:name="_GoBack"/>
      <w:bookmarkEnd w:id="0"/>
      <w:r>
        <w:rPr>
          <w:rFonts w:hint="eastAsia" w:ascii="仿宋_GB2312" w:hAnsi="仿宋_GB2312" w:eastAsia="仿宋_GB2312" w:cs="仿宋_GB2312"/>
          <w:sz w:val="32"/>
          <w:szCs w:val="32"/>
        </w:rPr>
        <w:t>前款规定的情形消除后，应当立即停止取用地下水。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县级以上地方人民政府应当加强地下水水源补给保护，充分利用自然条件补充地下水，有效涵养地下水水源。</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建设应当统筹地下水水源涵养和回补需要，按照海绵城市建设的要求，推广海绵型建筑、道路、广场、公园、绿地等，逐步完善滞渗蓄排等相结合的雨洪水收集利用系统。河流、湖泊整治应当兼顾地下水水源涵养，加强水体自然形态保护和修复。</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城市人民政府应当因地制宜采取有效措施，推广节水型生活用水器具，鼓励使用再生水，提高用水效率。</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县级以上地方人民政府应当根据地下水水源条件和需要，建设应急备用饮用水水源，制定应急预案，确保需要时正常使用。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应急备用地下水水源结束应急使用后，应当立即停止取水。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有关县级以上地方人民政府水行政主管部门会同本级人民政府有关部门编制重要泉域保护方案，明确保护范围、保护措施，报本级人民政府批准后实施。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对已经干涸但具有重要历史文化和生态价值的泉域，具备条件的，应当采取措施予以恢复。</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第四章　超 采 治 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国务院水行政主管部门应当会同国务院自然资源主管部门根据地下水状况调查评价成果，组织划定全国地下水超采区，并依法向社会公布。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省、自治区、直辖市人民政府水行政主管部门应当会同本级人民政府自然资源等主管部门，统筹考虑地下水超采区划定、地下水利用情况以及地质环境条件等因素，组织划定本行政区域内地下水禁止开采区、限制开采区，经省、自治区、直辖市人民政府批准后公布，并报国务院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地下水禁止开采区、限制开采区划定后，确需调整的，应当按照原划定程序进行调整。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有下列情形之一的，应当划为地下水禁止开采区：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(一)已发生严重的地面沉降、地裂缝、海(咸)水入侵、植被退化等地质灾害或者生态损害的区域；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(二)地下水超采区内公共供水管网覆盖或者通过替代水源已经解决供水需求的区域；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(三)法律、法规规定禁止开采地下水的其他区域。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有下列情形之一的，应当划为地下水限制开采区：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(一)地下水开采量接近可开采量的区域；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(二)开采地下水可能引发地质灾害或者生态损害的区域；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(三)法律、法规规定限制开采地下水的其他区域。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除下列情形外，在地下水禁止开采区内禁止取用地下水：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(一)为保障地下工程施工安全和生产安全必须进行临时应急取(排)水；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(二)为消除对公共安全或者公共利益的危害临时应急取水；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(三)为开展地下水监测、勘探、试验少量取水。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除前款规定的情形外，在地下水限制开采区内禁止新增取用地下水，并逐步削减地下水取水量；前款规定的情形消除后，应当立即停止取用地下水。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省、自治区、直辖市人民政府水行政主管部门应当会同本级人民政府有关部门，编制本行政区域地下水超采综合治理方案，经省、自治区、直辖市人民政府批准后，报国务院水行政主管部门备案。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地下水超采综合治理方案应当明确治理目标、治理措施、保障措施等内容。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地下水超采区的县级以上地方人民政府应当加强节水型社会建设，通过加大海绵城市建设力度、调整种植结构、推广节水农业、加强工业节水、实施河湖地下水回补等措施，逐步实现地下水采补平衡。</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国家在替代水源供给、公共供水管网建设、产业结构调整等方面，加大对地下水超采区地方人民政府的支持力度。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有关县级以上地方人民政府水行政主管部门应当会同本级人民政府自然资源主管部门加强对海(咸)水入侵的监测和预防。已经出现海(咸)水入侵的地区，应当采取综合治理措施。</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第五章　污 染 防 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生态环境主管部门应当会同国务院水行政、自然资源等主管部门，指导全国地下水污染防治重点区划定工作。省、自治区、直辖市人民政府生态环境主管部门应当会同本级人民政府水行政、自然资源等主管部门，根据本行政区域内地下水污染防治需要，划定地下水污染防治重点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禁止下列污染或者可能污染地下水的行为：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(一)利用渗井、渗坑、裂隙、溶洞以及私设暗管等逃避监管的方式排放水污染物；</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(二)利用岩层孔隙、裂隙、溶洞、废弃矿坑等贮存石化原料及产品、农药、危险废物、城镇污水处理设施产生的污泥和处理后的污泥或者其他有毒有害物质；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(三)利用无防渗漏措施的沟渠、坑塘等输送或者贮存含有毒污染物的废水、含病原体的污水和其他废弃物；</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(四)法律、法规禁止的其他污染或者可能污染地下水的行为。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企业事业单位和其他生产经营者应当采取下列措施，防止地下水污染：</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(一)兴建地下工程设施或者进行地下勘探、采矿等活动，依法编制的环境影响评价文件中，应当包括地下水污染防治的内容，并采取防护性措施；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(二)化学品生产企业以及工业集聚区、矿山开采区、尾矿库、危险废物处置场、垃圾填埋场等的运营、管理单位，应当采取防渗漏等措施，并建设地下水水质监测井进行监测；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(三)加油站等的地下油罐应当使用双层罐或者采取建造防渗池等其他有效措施，并进行防渗漏监测；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(四)存放可溶性剧毒废渣的场所，应当采取防水、防渗漏、防流失的措施；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(五)法律、法规规定应当采取的其他防止地下水污染的措施。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前款第二项规定的企业事业单位和其他生产经营者排放有毒有害物质情况，地方人民政府生态环境主管部门应当按照国务院生态环境主管部门的规定，商有关部门确定并公布地下水污染防治重点排污单位名录。地下水污染防治重点排污单位应当依法安装水污染物排放自动监测设备，与生态环境主管部门的监控设备联网，并保证监测设备正常运行。</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在泉域保护范围以及岩溶强发育、存在较多落水洞和岩溶漏斗的区域内，不得新建、改建、扩建可能造成地下水污染的建设项目。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多层含水层开采、回灌地下水应当防止串层污染。</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多层地下水的含水层水质差异大的，应当分层开采；对已受污染的潜水和承压水，不得混合开采。</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已经造成地下水串层污染的，应当按照封填井技术要求限期回填串层开采井，并对造成的地下水污染进行治理和修复。</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人工回灌补给地下水，应当符合相关的水质标准，不得使地下水水质恶化。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农业生产经营者等有关单位和个人应当科学、合理使用农药、肥料等农业投入品，农田灌溉用水应当符合相关水质标准，防止地下水污染。</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县级以上地方人民政府及其有关部门应当加强农药、肥料等农业投入品使用指导和技术服务，鼓励和引导农业生产经营者等有关单位和个人合理使用农药、肥料等农业投入品，防止地下水污染。</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依照《中华人民共和国土壤污染防治法》的有关规定，安全利用类和严格管控类农用地地块的土壤污染影响或者可能影响地下水安全的，制定防治污染的方案时，应当包括地下水污染防治的内容。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物含量超过土壤污染风险管控标准的建设用地地块，编制土壤污染风险评估报告时，应当包括地下水是否受到污染的内容；列入风险管控和修复名录的建设用地地块，采取的风险管控措施中应当包括地下水污染防治的内容。</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对需要实施修复的农用地地块，以及列入风险管控和修复名录的建设用地地块，修复方案中应当包括地下水污染防治的内容。</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第六章　监 督 管 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县级以上人民政府水行政、自然资源、生态环境等主管部门应当依照职责加强监督管理，完善协作配合机制。</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国务院水行政、自然资源、生态环境等主管部门建立统一的国家地下水监测站网和地下水监测信息共享机制，对地下水进行动态监测。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县级以上地方人民政府水行政、自然资源、生态环境等主管部门根据需要完善地下水监测工作体系，加强地下水监测。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任何单位和个人不得侵占、毁坏或者擅自移动地下水监测设施设备及其标志。</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建设工程应当避开地下水监测设施设备；确实无法避开、需要拆除地下水监测设施设备的，应当由县级以上人民政府水行政、自然资源、生态环境等主管部门按照有关技术要求组织迁建，迁建费用由建设单位承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任何单位和个人不得篡改、伪造地下水监测数据。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建设地下水取水工程的单位和个人，应当在申请取水许可时附具地下水取水工程建设方案，并按照取水许可批准文件的要求，自行或者委托具有相应专业技术能力的单位进行施工。施工单位不得承揽应当取得但未取得取水许可的地下水取水工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以监测、勘探为目的的地下水取水工程，不需要申请取水许可，建设单位应当于施工前报有管辖权的水行政主管部门备案。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地下水取水工程的所有权人负责工程的安全管理。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县级以上地方人民政府水行政主管部门应当对本行政区域内的地下水取水工程登记造册，建立监督管理制度。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废的矿井、钻井、地下水取水工程，或者未建成、已完成勘探任务、依法应当停止取水的地下水取水工程，应当由工程所有权人或者管理单位实施封井或者回填；所有权人或者管理单位应当将其封井或者回填情况告知县级以上地方人民政府水行政主管部门；无法确定所有权人或者管理单位的，由县级以上地方人民政府或者其授权的部门负责组织实施封井或者回填。</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实施封井或者回填，应当符合国家有关技术标准。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县级以上地方人民政府应当组织水行政、自然资源、生态环境等主管部门，划定集中式地下水饮用水水源地并公布名录，定期组织开展地下水饮用水水源地安全评估。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县级以上地方人民政府水行政主管部门应当会同本级人民政府自然资源等主管部门，根据水文地质条件和地下水保护要求，划定需要取水的地热能开发利用项目的禁止和限制取水范围。</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禁止在集中式地下水饮用水水源地建设需要取水的地热能开发利用项目。禁止抽取难以更新的地下水用于需要取水的地热能开发利用项目。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需要取水的地热能开发利用项目，应当对取水和回灌进行计量，实行同一含水层等量取水和回灌，不得对地下水造成污染。达到取水规模以上的，应当安装取水和回灌在线计量设施，并将计量数据实时传输到有管理权限的水行政主管部门。取水规模由省、自治区、直辖市人民政府水行政主管部门制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对不符合本条第一款、第二款、第三款规定的已建需要取水的地热能开发利用项目，取水单位和个人应当按照水行政主管部门的规定限期整改，整改不合格的，予以关闭。</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矿产资源开采、地下工程建设疏干排水量达到规模的，应当依法申请取水许可，安装排水计量设施，定期向取水许可审批机关报送疏干排水量和地下水水位状况。疏干排水量规模由省、自治区、直辖市人民政府制定、公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矿井等地下工程施工安全和生产安全必须进行临时应急取(排)水的，不需要申请取水许可。取(排)水单位和个人应当于临时应急取(排)水结束后5个工作日内，向有管理权限的县级以上地方人民政府水行政主管部门备案。</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矿产资源开采、地下工程建设疏干排水应当优先利用，无法利用的应当达标排放。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县级以上人民政府水行政、生态环境等主管部门应当建立从事地下水节约、保护、利用活动的单位和个人的诚信档案，记录日常监督检查结果、违法行为查处等情况，并依法向社会公示。</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第七章　法 律 责 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县级以上人民政府水行政、生态环境、自然资源主管部门和其他负有地下水监督管理职责的部门有下列行为之一的，由上级机关责令改正，对负有责任的主管人员和其他直接责任人员依法给予处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(一)未采取有效措施导致本行政区域内地下水超采范围扩大，或者地下水污染状况未得到改善甚至恶化；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(二)未完成本行政区域内地下水取水总量控制指标和地下水水位控制指标；</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(三)对地下水水位低于控制水位未采取相关措施；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(四)发现违法行为或者接到对违法行为的检举后未予查处；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(五)有其他滥用职权、玩忽职守、徇私舞弊等违法行为。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经批准擅自取用地下水，或者利用渗井、渗坑、裂隙、溶洞以及私设暗管等逃避监管的方式排放水污染物等违法行为，依照《中华人民共和国水法》、《中华人民共和国水污染防治法》、《中华人民共和国土壤污染防治法》、《取水许可和水资源费征收管理条例》等法律、行政法规的规定处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地下水取水工程未安装计量设施的，由县级以上地方人民政府水行政主管部门责令限期安装，并按照日最大取水能力计算的取水量计征相关费用，处10万元以上50万元以下罚款；情节严重的，吊销取水许可证。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量设施不合格或者运行不正常的，由县级以上地方人民政府水行政主管部门责令限期更换或者修复；逾期不更换或者不修复的，按照日最大取水能力计算的取水量计征相关费用，处10万元以上50万元以下罚款；情节严重的，吊销取水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利用岩层孔隙、裂隙、溶洞、废弃矿坑等贮存石化原料及产品、农药、危险废物或者其他有毒有害物质的，由地方人民政府生态环境主管部门责令限期改正，处10万元以上100万元以下罚款。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岩层孔隙、裂隙、溶洞、废弃矿坑等贮存城镇污水处理设施产生的污泥和处理后的污泥的，由县级以上地方人民政府城镇排水主管部门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泉域保护范围以及岩溶强发育、存在较多落水洞和岩溶漏斗的区域内，新建、改建、扩建造成地下水污染的建设项目的，由地方人民政府生态环境主管部门处10万元以上50万元以下罚款，并报经有批准权的人民政府批准，责令拆除或者关闭。</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侵占、毁坏或者擅自移动地下水监测设施设备及其标志的，由县级以上地方人民政府水行政、自然资源、生态环境主管部门责令停止违法行为，限期采取补救措施，处2万元以上10万元以下罚款；逾期不采取补救措施的，由县级以上地方人民政府水行政、自然资源、生态环境主管部门组织补救，所需费用由违法行为人承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ascii="Times New Roman" w:hAnsi="Times New Roman" w:cs="Times New Roman"/>
          <w:sz w:val="32"/>
          <w:szCs w:val="32"/>
        </w:rPr>
        <w:t>第八章　附　　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本条例下列用语含义是：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地下水取水工程，是指地下水取水井及其配套设施，包括水井、集水廊道、集水池、渗渠、注水井以及需要取水的地热能开发利用项目的取水井和回灌井等。</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地下水超采区，是指地下水实际开采量超过可开采量，引起地下水水位持续下降、引发生态损害和地质灾害的区域。</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难以更新的地下水，是指与大气降水和地表水体没有密切水力联系，无法补给或者补给非常缓慢的地下水。</w:t>
      </w:r>
    </w:p>
    <w:p>
      <w:pPr>
        <w:pStyle w:val="11"/>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Cs/>
          <w:sz w:val="32"/>
          <w:szCs w:val="32"/>
          <w:shd w:val="clear" w:color="auto" w:fill="FFFFFF"/>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本条例自2021年12月1日起施行。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454"/>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06452E"/>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D71794"/>
    <w:rsid w:val="67DE6474"/>
    <w:rsid w:val="68426F20"/>
    <w:rsid w:val="68715924"/>
    <w:rsid w:val="6A403C00"/>
    <w:rsid w:val="6B4C7D1B"/>
    <w:rsid w:val="6BC16491"/>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1460</Words>
  <Characters>8323</Characters>
  <Lines>69</Lines>
  <Paragraphs>19</Paragraphs>
  <TotalTime>4</TotalTime>
  <ScaleCrop>false</ScaleCrop>
  <LinksUpToDate>false</LinksUpToDate>
  <CharactersWithSpaces>9764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2023-05-10T01:07:01Z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