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beforeAutospacing="0" w:afterAutospacing="0"/>
        <w:jc w:val="center"/>
        <w:textAlignment w:val="auto"/>
        <w:rPr>
          <w:b/>
          <w:bCs/>
          <w:sz w:val="44"/>
          <w:szCs w:val="44"/>
        </w:rPr>
      </w:pPr>
    </w:p>
    <w:p>
      <w:pPr>
        <w:pStyle w:val="11"/>
        <w:pageBreakBefore w:val="0"/>
        <w:kinsoku/>
        <w:wordWrap/>
        <w:overflowPunct/>
        <w:topLinePunct w:val="0"/>
        <w:autoSpaceDE/>
        <w:autoSpaceDN/>
        <w:bidi w:val="0"/>
        <w:adjustRightInd/>
        <w:snapToGrid/>
        <w:spacing w:beforeAutospacing="0" w:afterAutospacing="0"/>
        <w:ind w:firstLine="880" w:firstLineChars="200"/>
        <w:jc w:val="center"/>
        <w:textAlignment w:val="auto"/>
        <w:rPr>
          <w:rFonts w:hint="eastAsia" w:hAnsi="宋体" w:cs="宋体"/>
          <w:color w:val="333333"/>
          <w:sz w:val="44"/>
          <w:szCs w:val="44"/>
          <w:shd w:val="clear" w:color="auto" w:fill="FFFFFF"/>
        </w:rPr>
      </w:pPr>
      <w:r>
        <w:rPr>
          <w:rFonts w:hint="eastAsia" w:hAnsi="宋体" w:cs="宋体"/>
          <w:color w:val="333333"/>
          <w:sz w:val="44"/>
          <w:szCs w:val="44"/>
          <w:shd w:val="clear" w:color="auto" w:fill="FFFFFF"/>
        </w:rPr>
        <w:t>地名管理条例</w:t>
      </w:r>
    </w:p>
    <w:p>
      <w:pPr>
        <w:pStyle w:val="11"/>
        <w:pageBreakBefore w:val="0"/>
        <w:kinsoku/>
        <w:wordWrap/>
        <w:overflowPunct/>
        <w:topLinePunct w:val="0"/>
        <w:autoSpaceDE/>
        <w:autoSpaceDN/>
        <w:bidi w:val="0"/>
        <w:adjustRightInd/>
        <w:snapToGrid/>
        <w:spacing w:beforeAutospacing="0" w:afterAutospacing="0"/>
        <w:ind w:firstLine="880" w:firstLineChars="200"/>
        <w:jc w:val="center"/>
        <w:textAlignment w:val="auto"/>
        <w:rPr>
          <w:rFonts w:hint="eastAsia" w:hAnsi="宋体" w:cs="宋体"/>
          <w:color w:val="333333"/>
          <w:sz w:val="44"/>
          <w:szCs w:val="44"/>
          <w:shd w:val="clear" w:color="auto" w:fill="FFFFFF"/>
        </w:rPr>
      </w:pPr>
    </w:p>
    <w:p>
      <w:pPr>
        <w:pageBreakBefore w:val="0"/>
        <w:widowControl/>
        <w:kinsoku/>
        <w:wordWrap/>
        <w:overflowPunct/>
        <w:topLinePunct w:val="0"/>
        <w:autoSpaceDE/>
        <w:autoSpaceDN/>
        <w:bidi w:val="0"/>
        <w:adjustRightInd/>
        <w:snapToGrid/>
        <w:spacing w:beforeAutospacing="0" w:afterAutospacing="0" w:line="500" w:lineRule="exact"/>
        <w:ind w:firstLine="640" w:firstLineChars="200"/>
        <w:jc w:val="left"/>
        <w:textAlignment w:val="auto"/>
        <w:rPr>
          <w:rFonts w:hint="eastAsia" w:ascii="楷体_GB2312" w:hAnsi="宋体" w:eastAsia="楷体_GB2312" w:cs="楷体_GB2312"/>
          <w:bCs/>
          <w:sz w:val="32"/>
          <w:szCs w:val="32"/>
          <w:shd w:val="clear" w:color="auto" w:fill="FFFFFF"/>
        </w:rPr>
      </w:pPr>
      <w:r>
        <w:rPr>
          <w:rFonts w:hint="eastAsia" w:ascii="楷体_GB2312" w:hAnsi="宋体" w:eastAsia="楷体_GB2312" w:cs="楷体_GB2312"/>
          <w:bCs/>
          <w:sz w:val="32"/>
          <w:szCs w:val="32"/>
          <w:shd w:val="clear" w:color="auto" w:fill="FFFFFF"/>
        </w:rPr>
        <w:t>(</w:t>
      </w:r>
      <w:r>
        <w:rPr>
          <w:rFonts w:hint="eastAsia" w:ascii="楷体_GB2312" w:hAnsi="楷体_GB2312" w:eastAsia="楷体_GB2312" w:cs="楷体_GB2312"/>
          <w:sz w:val="32"/>
          <w:szCs w:val="32"/>
        </w:rPr>
        <w:t>2021年9月1日国务院第147次常务会议修订通过　</w:t>
      </w:r>
      <w:r>
        <w:rPr>
          <w:rFonts w:ascii="楷体_GB2312" w:hAnsi="楷体_GB2312" w:eastAsia="楷体_GB2312" w:cs="楷体_GB2312"/>
          <w:sz w:val="32"/>
          <w:szCs w:val="32"/>
        </w:rPr>
        <w:t>2022</w:t>
      </w:r>
      <w:r>
        <w:rPr>
          <w:rFonts w:hint="eastAsia" w:ascii="楷体_GB2312" w:hAnsi="楷体_GB2312" w:eastAsia="楷体_GB2312" w:cs="楷体_GB2312"/>
          <w:sz w:val="32"/>
          <w:szCs w:val="32"/>
        </w:rPr>
        <w:t>年3月3</w:t>
      </w:r>
      <w:r>
        <w:rPr>
          <w:rFonts w:ascii="楷体_GB2312" w:hAnsi="楷体_GB2312" w:eastAsia="楷体_GB2312" w:cs="楷体_GB2312"/>
          <w:sz w:val="32"/>
          <w:szCs w:val="32"/>
        </w:rPr>
        <w:t>0</w:t>
      </w:r>
      <w:r>
        <w:rPr>
          <w:rFonts w:hint="eastAsia" w:ascii="楷体_GB2312" w:hAnsi="楷体_GB2312" w:eastAsia="楷体_GB2312" w:cs="楷体_GB2312"/>
          <w:sz w:val="32"/>
          <w:szCs w:val="32"/>
        </w:rPr>
        <w:t>日中华人民共和国国务院令第7</w:t>
      </w:r>
      <w:r>
        <w:rPr>
          <w:rFonts w:ascii="楷体_GB2312" w:hAnsi="楷体_GB2312" w:eastAsia="楷体_GB2312" w:cs="楷体_GB2312"/>
          <w:sz w:val="32"/>
          <w:szCs w:val="32"/>
        </w:rPr>
        <w:t>53</w:t>
      </w:r>
      <w:r>
        <w:rPr>
          <w:rFonts w:hint="eastAsia" w:ascii="楷体_GB2312" w:hAnsi="楷体_GB2312" w:eastAsia="楷体_GB2312" w:cs="楷体_GB2312"/>
          <w:sz w:val="32"/>
          <w:szCs w:val="32"/>
        </w:rPr>
        <w:t>号公布　自2</w:t>
      </w:r>
      <w:r>
        <w:rPr>
          <w:rFonts w:ascii="楷体_GB2312" w:hAnsi="楷体_GB2312" w:eastAsia="楷体_GB2312" w:cs="楷体_GB2312"/>
          <w:sz w:val="32"/>
          <w:szCs w:val="32"/>
        </w:rPr>
        <w:t>022</w:t>
      </w:r>
      <w:r>
        <w:rPr>
          <w:rFonts w:hint="eastAsia" w:ascii="楷体_GB2312" w:hAnsi="楷体_GB2312" w:eastAsia="楷体_GB2312" w:cs="楷体_GB2312"/>
          <w:sz w:val="32"/>
          <w:szCs w:val="32"/>
        </w:rPr>
        <w:t>年5月1日起施行</w:t>
      </w:r>
      <w:r>
        <w:rPr>
          <w:rFonts w:hint="eastAsia" w:ascii="楷体_GB2312" w:hAnsi="宋体" w:eastAsia="楷体_GB2312" w:cs="楷体_GB2312"/>
          <w:bCs/>
          <w:sz w:val="32"/>
          <w:szCs w:val="32"/>
          <w:shd w:val="clear" w:color="auto" w:fill="FFFFFF"/>
        </w:rPr>
        <w:t>)</w:t>
      </w:r>
    </w:p>
    <w:p>
      <w:pPr>
        <w:pStyle w:val="3"/>
        <w:pageBreakBefore w:val="0"/>
        <w:kinsoku/>
        <w:wordWrap/>
        <w:overflowPunct/>
        <w:topLinePunct w:val="0"/>
        <w:autoSpaceDE/>
        <w:autoSpaceDN/>
        <w:bidi w:val="0"/>
        <w:adjustRightInd/>
        <w:snapToGrid/>
        <w:spacing w:before="0" w:beforeAutospacing="0" w:after="0" w:afterAutospacing="0"/>
        <w:textAlignment w:val="auto"/>
      </w:pPr>
      <w:r>
        <w:t>第一章　总　　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为了加强和规范地名管理，适应经济社会发展、人民生活和国际交往的需要，传承发展中华优秀文化，制定本条例。</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中华人民共和国境内地名的命名、更名、使用、文化保护及其相关管理活动，适用本条例。</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本条例所称地名包括：</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(一)自然</w:t>
      </w:r>
      <w:r>
        <w:rPr>
          <w:rFonts w:ascii="Times New Roman" w:hAnsi="Times New Roman" w:eastAsia="仿宋_GB2312" w:cs="Times New Roman"/>
          <w:sz w:val="32"/>
          <w:szCs w:val="32"/>
        </w:rPr>
        <w:t>地理实</w:t>
      </w:r>
      <w:r>
        <w:rPr>
          <w:rFonts w:hint="eastAsia" w:ascii="仿宋_GB2312" w:hAnsi="仿宋_GB2312" w:eastAsia="仿宋_GB2312" w:cs="仿宋_GB2312"/>
          <w:sz w:val="32"/>
          <w:szCs w:val="32"/>
        </w:rPr>
        <w:t>体名称；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(二)行政区划名称；</w:t>
      </w:r>
      <w:bookmarkStart w:id="0" w:name="_GoBack"/>
      <w:bookmarkEnd w:id="0"/>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(三)村民委员会、居民委员会所在地名称；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(四)城市公园、自然保护地名称；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(五)街路巷名称；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(六)具有重要地理方位意义的住宅区、楼宇名称；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(七)具有重要地理方位意义的交通运输、水利、电力、通信、气象等设施名称；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(八)具有重要地理方位意义的其他地理实体名称。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地名管理应当坚持和加强党的领导。县级以上行政区划命名、更名，以及地名的命名、更名、使用涉及国家领土主权、安全、外交、国防等重大事项的，应当按照有关规定报党中央。</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地名管理应当有利于维护国家主权和民族团结，有利于弘扬社会主义核心价值观，有利于推进国家治理体系和治理能力现代化，有利于传承发展中华优秀文化。</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地名应当保持相对稳定。未经批准，任何单位和个人不得擅自决定对地名进行命名、更名。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地名的命名、更名、使用、文化保护应当遵守法律、行政法规和国家有关规定，反映当地地理、历史和文化特征，尊重当地群众意愿，方便生产生活。</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县级以上人民政府应当建立健全地名管理工作协调机制，指导、督促、监督地名管理工作。</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国务院民政</w:t>
      </w:r>
      <w:r>
        <w:rPr>
          <w:rFonts w:hint="eastAsia" w:ascii="仿宋_GB2312" w:hAnsi="仿宋_GB2312" w:eastAsia="仿宋_GB2312" w:cs="仿宋_GB2312"/>
          <w:sz w:val="32"/>
          <w:szCs w:val="32"/>
        </w:rPr>
        <w:t>部门(以下称国务院地名行政主管部门)负责全国地名工作的统一监督管理。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仿宋_GB2312" w:hAnsi="仿宋_GB2312" w:eastAsia="仿宋_GB2312" w:cs="仿宋_GB2312"/>
          <w:sz w:val="32"/>
          <w:szCs w:val="32"/>
        </w:rPr>
        <w:t>国务院外交、公安、自然资源、住房和城乡建</w:t>
      </w:r>
      <w:r>
        <w:rPr>
          <w:rFonts w:ascii="Times New Roman" w:hAnsi="Times New Roman" w:eastAsia="仿宋_GB2312" w:cs="Times New Roman"/>
          <w:sz w:val="32"/>
          <w:szCs w:val="32"/>
        </w:rPr>
        <w:t>设、交通运输、水利、文化和旅游、市场监管、林业草原、语言文字工作、新闻出版等其他有关部门，在各自职责范围内负责相关的地名管理工作。</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县级以上地方人民政府地名行政主管部门负责本行政区域的地名管理工作。县级以上地方人民政府其他有关部门按照本级人民政府规定的职责分工，负责本行政区域的相关地名管理工作。</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县级以上地方人民政府地名行政主管部门会同有关部门编制本行政区域的地名方案，经本级人民政府批准后组织实施。</w:t>
      </w:r>
    </w:p>
    <w:p>
      <w:pPr>
        <w:pStyle w:val="3"/>
        <w:pageBreakBefore w:val="0"/>
        <w:kinsoku/>
        <w:wordWrap/>
        <w:overflowPunct/>
        <w:topLinePunct w:val="0"/>
        <w:autoSpaceDE/>
        <w:autoSpaceDN/>
        <w:bidi w:val="0"/>
        <w:adjustRightInd/>
        <w:snapToGrid/>
        <w:spacing w:before="0" w:beforeAutospacing="0" w:after="0" w:afterAutospacing="0"/>
        <w:textAlignment w:val="auto"/>
      </w:pPr>
      <w:r>
        <w:t>第二章　地名的命名、更名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地名由专名和通名两部分组成。地名的命名应当遵循下列规</w:t>
      </w:r>
      <w:r>
        <w:rPr>
          <w:rFonts w:hint="eastAsia" w:ascii="仿宋_GB2312" w:hAnsi="仿宋_GB2312" w:eastAsia="仿宋_GB2312" w:cs="仿宋_GB2312"/>
          <w:sz w:val="32"/>
          <w:szCs w:val="32"/>
        </w:rPr>
        <w:t>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(一)含义明确、健康，不违背公序良俗；</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(二)符合地理实体的实际地域、规模、性质等特征；</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(三)使用国家通用语言文字，避免使用生僻字；</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(四)一般不以人名作地名，不以国家领导人的名字作地名；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(五)不以外国人名、地名作地名；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(六)不以企业名称或者商标名称作地名；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仿宋_GB2312" w:hAnsi="仿宋_GB2312" w:eastAsia="仿宋_GB2312" w:cs="仿宋_GB2312"/>
          <w:sz w:val="32"/>
          <w:szCs w:val="32"/>
        </w:rPr>
        <w:t>(七)国内著名的自然地理实体名称，全国范</w:t>
      </w:r>
      <w:r>
        <w:rPr>
          <w:rFonts w:ascii="Times New Roman" w:hAnsi="Times New Roman" w:eastAsia="仿宋_GB2312" w:cs="Times New Roman"/>
          <w:sz w:val="32"/>
          <w:szCs w:val="32"/>
        </w:rPr>
        <w:t>围内的县级以上行政区划名称，不应重名，并避免同音；</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同一个省级行政区域内的乡、镇名称，同一个县级行政区域内的村民委员会、居民委员会所在地名称，同一个建成区内的街路巷名称，同一个建成区内的具有重要地理方位意义的住宅区、楼宇名称，不应重名，并避免同音；</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(九)不以国内著名的自然地理实体、历史文化遗产遗址、超出本行政区域范围的地理实体名称作行政区划专名；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仿宋_GB2312" w:hAnsi="仿宋_GB2312" w:eastAsia="仿宋_GB2312" w:cs="仿宋_GB2312"/>
          <w:sz w:val="32"/>
          <w:szCs w:val="32"/>
        </w:rPr>
        <w:t>(十)具有重要地理方位意义的交通运输、水利、电力、通</w:t>
      </w:r>
      <w:r>
        <w:rPr>
          <w:rFonts w:ascii="Times New Roman" w:hAnsi="Times New Roman" w:eastAsia="仿宋_GB2312" w:cs="Times New Roman"/>
          <w:sz w:val="32"/>
          <w:szCs w:val="32"/>
        </w:rPr>
        <w:t>信、气象等设施名称，一般应当与所在地地名统一。</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法律、行政法规对地名命名规则另有规定的，从其规定。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地名依法命名后，因行政区划变更、城乡建设、自然变化等原因导致地名名实不符的，应当及时更名。地名更名应当符合本条例第九条的规定。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具有重要历史文化价值、体现中华历史文脉的地名，一般不得更名。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机关、企业事业单位、基层群众性自治组织等申请地名命名、更名应当</w:t>
      </w:r>
      <w:r>
        <w:rPr>
          <w:rFonts w:hint="eastAsia" w:ascii="仿宋_GB2312" w:hAnsi="仿宋_GB2312" w:eastAsia="仿宋_GB2312" w:cs="仿宋_GB2312"/>
          <w:sz w:val="32"/>
          <w:szCs w:val="32"/>
        </w:rPr>
        <w:t>提交申请书。申请书应当包括下列材料：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(一)命名、更名的方案及理由；</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(二)地理实体的位置、规模、性质等基本情况；</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(三)国务院地名行政主管部门规定应当提交的其他材料。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仿宋_GB2312" w:hAnsi="仿宋_GB2312" w:eastAsia="仿宋_GB2312" w:cs="仿宋_GB2312"/>
          <w:sz w:val="32"/>
          <w:szCs w:val="32"/>
        </w:rPr>
        <w:t>行政区划的命名、更名，应当按照《行政区划管理条例》的</w:t>
      </w:r>
      <w:r>
        <w:rPr>
          <w:rFonts w:ascii="Times New Roman" w:hAnsi="Times New Roman" w:eastAsia="仿宋_GB2312" w:cs="Times New Roman"/>
          <w:sz w:val="32"/>
          <w:szCs w:val="32"/>
        </w:rPr>
        <w:t>规定，提交风险评估报告、专家论证报告、征求社会公众等意见报告。其他地名的命名、更名，应当综合考虑社会影响、专业性、技术性以及与群众生活的密切程度等因素，组织开展综合评估、专家论证、征求意见并提交相关报告。</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批准地名命</w:t>
      </w:r>
      <w:r>
        <w:rPr>
          <w:rFonts w:hint="eastAsia" w:ascii="仿宋_GB2312" w:hAnsi="仿宋_GB2312" w:eastAsia="仿宋_GB2312" w:cs="仿宋_GB2312"/>
          <w:sz w:val="32"/>
          <w:szCs w:val="32"/>
        </w:rPr>
        <w:t>名、更名应当遵循下列规定：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具有重要历史文化价值、体现中华历史文脉以及有重大社会影响的国内著名自然地理实体或者涉及两个省、自治区、直辖市以上的自然地理实体的命名、更名，边境地区涉及国界线走向和海上涉及岛屿、岛礁归属界线以及载入边界条约和议定书中的自然地理实体和村民委员会、居民委员会所在地等居民点的</w:t>
      </w:r>
      <w:r>
        <w:rPr>
          <w:rFonts w:ascii="Times New Roman" w:hAnsi="Times New Roman" w:eastAsia="仿宋_GB2312" w:cs="Times New Roman"/>
          <w:sz w:val="32"/>
          <w:szCs w:val="32"/>
        </w:rPr>
        <w:t>命名、更名，</w:t>
      </w:r>
      <w:r>
        <w:rPr>
          <w:rFonts w:hint="eastAsia" w:ascii="仿宋_GB2312" w:hAnsi="仿宋_GB2312" w:eastAsia="仿宋_GB2312" w:cs="仿宋_GB2312"/>
          <w:sz w:val="32"/>
          <w:szCs w:val="32"/>
        </w:rPr>
        <w:t>由相关省、自治区、直辖市人民政府提出申请，报国务院批准；无居民海岛、海域、海底地理实体的命名、更名，由国务院自然资源主管部门会同有关部门批准；其他自然地理实体的命名、更名，按照省、自治区、直辖市人民政府的规定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(二)行政区划的命名、更名，按照《行政区划管理条例》的规定批准；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(三)本条第一项规定以外的村民委员会、居民委员会所在地的命名、更名，按照省、自治区、直辖市人民政府的规定批准；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(四)城市公园、自然保护地的命名、更名，按照国家有关规定批准；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(五)街路巷的命名、更名，由直辖市、市、县人民政府批准；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(六)具有重要地理方位意义的住宅区、楼宇的命名、更名，由直辖市、市、县人民政府住房和城乡建设主管部门征求同级人民政府地名行政主管部门的意见后批准；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仿宋_GB2312" w:hAnsi="仿宋_GB2312" w:eastAsia="仿宋_GB2312" w:cs="仿宋_GB2312"/>
          <w:sz w:val="32"/>
          <w:szCs w:val="32"/>
        </w:rPr>
        <w:t>(七)具有重要地理方位意义的交通运输、水利、电力、通信、</w:t>
      </w:r>
      <w:r>
        <w:rPr>
          <w:rFonts w:ascii="Times New Roman" w:hAnsi="Times New Roman" w:eastAsia="仿宋_GB2312" w:cs="Times New Roman"/>
          <w:sz w:val="32"/>
          <w:szCs w:val="32"/>
        </w:rPr>
        <w:t>气象等设施的命名、更名，应当根据情况征求所在地相关县级以上地方人民政府的意见，由有关主管部门批准。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地名</w:t>
      </w:r>
      <w:r>
        <w:rPr>
          <w:rFonts w:hint="eastAsia" w:ascii="仿宋_GB2312" w:hAnsi="仿宋_GB2312" w:eastAsia="仿宋_GB2312" w:cs="仿宋_GB2312"/>
          <w:sz w:val="32"/>
          <w:szCs w:val="32"/>
        </w:rPr>
        <w:t>命名、更名后，由批准机关自批准之日起15日内按照下列规定报送备案：</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(一)国务院有关部门批准的地名报送国务院备案，备案材料径送国务院地名行政主管部门；</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(二)县级以上地方人民政府批准的地名报送上一级人民政府备案，备案材料径送上一级人民政府地名行政主管部门；</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(三)县级以上地方人民政府地名行政主管部门批准的地名报送上一级人民政府地名行政主管部门备案；</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(四)其他有关部门批准的地名报送同级人民政府地名行政主管部门备案。</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按照</w:t>
      </w:r>
      <w:r>
        <w:rPr>
          <w:rFonts w:hint="eastAsia" w:ascii="仿宋_GB2312" w:hAnsi="仿宋_GB2312" w:eastAsia="仿宋_GB2312" w:cs="仿宋_GB2312"/>
          <w:sz w:val="32"/>
          <w:szCs w:val="32"/>
        </w:rPr>
        <w:t>本条例规定，县级以上人民政府或者由县级以上地方人民政府地名行政主管部门批准的地名，自批准之日起15日内，由同级人民政府地名行政主管部门向社会公告；县级</w:t>
      </w:r>
      <w:r>
        <w:rPr>
          <w:rFonts w:ascii="Times New Roman" w:hAnsi="Times New Roman" w:eastAsia="仿宋_GB2312" w:cs="Times New Roman"/>
          <w:sz w:val="32"/>
          <w:szCs w:val="32"/>
        </w:rPr>
        <w:t>以上</w:t>
      </w:r>
      <w:r>
        <w:rPr>
          <w:rFonts w:hint="eastAsia" w:ascii="仿宋_GB2312" w:hAnsi="仿宋_GB2312" w:eastAsia="仿宋_GB2312" w:cs="仿宋_GB2312"/>
          <w:sz w:val="32"/>
          <w:szCs w:val="32"/>
        </w:rPr>
        <w:t>人民政府其他有关部门批准的地名，自按规定报送备案之日起15日内，由同级人民政府地名行政主管部门向社会</w:t>
      </w:r>
      <w:r>
        <w:rPr>
          <w:rFonts w:ascii="Times New Roman" w:hAnsi="Times New Roman" w:eastAsia="仿宋_GB2312" w:cs="Times New Roman"/>
          <w:sz w:val="32"/>
          <w:szCs w:val="32"/>
        </w:rPr>
        <w:t>公告。</w:t>
      </w:r>
    </w:p>
    <w:p>
      <w:pPr>
        <w:pStyle w:val="3"/>
        <w:pageBreakBefore w:val="0"/>
        <w:kinsoku/>
        <w:wordWrap/>
        <w:overflowPunct/>
        <w:topLinePunct w:val="0"/>
        <w:autoSpaceDE/>
        <w:autoSpaceDN/>
        <w:bidi w:val="0"/>
        <w:adjustRightInd/>
        <w:snapToGrid/>
        <w:spacing w:before="0" w:beforeAutospacing="0" w:after="0" w:afterAutospacing="0"/>
        <w:textAlignment w:val="auto"/>
      </w:pPr>
      <w:r>
        <w:t>第三章　地名使用</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地名的</w:t>
      </w:r>
      <w:r>
        <w:rPr>
          <w:rFonts w:hint="eastAsia" w:ascii="仿宋_GB2312" w:hAnsi="仿宋_GB2312" w:eastAsia="仿宋_GB2312" w:cs="仿宋_GB2312"/>
          <w:sz w:val="32"/>
          <w:szCs w:val="32"/>
        </w:rPr>
        <w:t>使用应当标准、规范。</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地名的罗马字母拼写以《汉语拼音方案》作为统一规范，按照国务院地名行政主管部门会同国务院有关部门制定的规则拼写。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按照本条例规定批准的地名为标准地名。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标准地名应当符合地名的用字读音审定规范和少数民族语地名、外国语地名汉字译写等规范。</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国务院地名行政主管部门统一建立国家地名信息库，公布标准地名等信息，充分发挥国家地名信息库在服务群众生活、社会治理、科学研究、国防建设等方面的积极作用，提高服务信息化、智能化、便捷化水平，方便公众使用。</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县级以上地方人民政府地名行政主管部门和其他有关部门之间应当建立健全地名信息资源共建共享机制。</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下列范围内</w:t>
      </w:r>
      <w:r>
        <w:rPr>
          <w:rFonts w:hint="eastAsia" w:ascii="仿宋_GB2312" w:hAnsi="仿宋_GB2312" w:eastAsia="仿宋_GB2312" w:cs="仿宋_GB2312"/>
          <w:sz w:val="32"/>
          <w:szCs w:val="32"/>
        </w:rPr>
        <w:t>必须使用标准地名：</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(一)地名标志、交通标志、广告牌匾等标识；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(二)通过报刊、广播、电视等新闻媒体和政府网站等公共平</w:t>
      </w:r>
      <w:r>
        <w:rPr>
          <w:rFonts w:ascii="Times New Roman" w:hAnsi="Times New Roman" w:eastAsia="仿宋_GB2312" w:cs="Times New Roman"/>
          <w:sz w:val="32"/>
          <w:szCs w:val="32"/>
        </w:rPr>
        <w:t>台发布的</w:t>
      </w:r>
      <w:r>
        <w:rPr>
          <w:rFonts w:hint="eastAsia" w:ascii="仿宋_GB2312" w:hAnsi="仿宋_GB2312" w:eastAsia="仿宋_GB2312" w:cs="仿宋_GB2312"/>
          <w:sz w:val="32"/>
          <w:szCs w:val="32"/>
        </w:rPr>
        <w:t>信息；</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(三)法律文书、身份证明、商品房预售许可证明、不动产权属证书等各类公文、证件；</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(四)辞书等工具类以及教材教辅等学习类公开出版物；</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(五)向社会公开的地图；</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(六)法律、行政法规规定应当使用标准地名的其他情形。</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标准地名及相关信息应当在地名标志上予以标示。任何单位和个人不得擅自设置、拆除、移动、涂改、遮挡、损毁地名标志。</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县级以上地方人民政府应当加强地名标志的设置和管理。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直辖市、市、县人民政府地名行政主管部门和其他有关部门应当在各自职责范围内，依据标准地名编制标准地址并设置标志。</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标准地名出版物由地名机构负责汇集出版。其中行政区划名称，由负责行政区划具体管理工作的部门汇集出版。</w:t>
      </w:r>
    </w:p>
    <w:p>
      <w:pPr>
        <w:pStyle w:val="3"/>
        <w:pageBreakBefore w:val="0"/>
        <w:kinsoku/>
        <w:wordWrap/>
        <w:overflowPunct/>
        <w:topLinePunct w:val="0"/>
        <w:autoSpaceDE/>
        <w:autoSpaceDN/>
        <w:bidi w:val="0"/>
        <w:adjustRightInd/>
        <w:snapToGrid/>
        <w:spacing w:before="0" w:beforeAutospacing="0" w:after="0" w:afterAutospacing="0"/>
        <w:textAlignment w:val="auto"/>
      </w:pPr>
      <w:r>
        <w:t>第四章　地名文化保护</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县级以上人民政府应当从我国地名的历史和实际出发，加强地名文化公益宣传，组织研究、传承地名文化。</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县级以上人民政府应当加强地名文化遗产保护，并将符合条件的地名文化遗产依法列入非物质文化遗产保护范围。</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县级以上地方人民政府地名行政主管部门应当对本行政区域内具有重要历史文化价值、体现中华历史文脉的地名进行普查，做好收集、记录、统计等工作，制定保护名录。列入保护名录的地名确需更名的，所在地县级以上地方人民政府应当预先制定相应的保护措施。</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县级以上地方人民政府应当做好地名档案管理工作。地名档案管理的具体办法，由国务院地名行政主管部门会同国家档案行政管理部门制定。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国家鼓励公民、企业和社会组织参与地名文化保护活动。</w:t>
      </w:r>
    </w:p>
    <w:p>
      <w:pPr>
        <w:pStyle w:val="3"/>
        <w:pageBreakBefore w:val="0"/>
        <w:kinsoku/>
        <w:wordWrap/>
        <w:overflowPunct/>
        <w:topLinePunct w:val="0"/>
        <w:autoSpaceDE/>
        <w:autoSpaceDN/>
        <w:bidi w:val="0"/>
        <w:adjustRightInd/>
        <w:snapToGrid/>
        <w:spacing w:before="0" w:beforeAutospacing="0" w:after="0" w:afterAutospacing="0"/>
        <w:textAlignment w:val="auto"/>
      </w:pPr>
      <w:r>
        <w:t>第五章　监督检查</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上级人民政府地名行政主管部门应当加强对下级人民政府地名行政主管部门地名管理工作的指导、监督。上级人民政府其他有关部门应当加强对下级人民政府相应部门地名管理工作的指导、监督。</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县级以上人民政府地名行政主管部门和其他有关部门应当依法加强对地名的命名、更名、使用、文化保护的监督检查。</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县级以上人民政府应当加强地名管理能力建设。</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县级以上人民政府地名行政主管部门和其他有关部门对地名管理工作进行监</w:t>
      </w:r>
      <w:r>
        <w:rPr>
          <w:rFonts w:hint="eastAsia" w:ascii="仿宋_GB2312" w:hAnsi="仿宋_GB2312" w:eastAsia="仿宋_GB2312" w:cs="仿宋_GB2312"/>
          <w:sz w:val="32"/>
          <w:szCs w:val="32"/>
        </w:rPr>
        <w:t>督检查时，有权采取下列措施：</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(一)询问有关当事人，调查与地名管理有关的情况；</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(二)查阅、复制有关资料；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(三)对涉嫌存在地名违法行为的场所实施现场检查；</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(四)检查与涉嫌地名违法行为有关的物品；</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(五)法律、行政法规规定的其他措施。</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县级以上人民政府地名行政主管部门和其他有关部门依法行使前款规定的职权时，当事人应当予以协助、配合，不得拒绝、阻挠。</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县级以上人民政府地名行政主管部门和其他有关部门在监督检查中发现地名的命名、更名、使用、文化保护存在问题的，应当及时提出整改建议，下达整改通知书，依法向有关部门提出处理建议；对涉嫌违反本条例规定的有关责任人员，必要时可以采取约谈措施，并向社会通报。</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县级以上人民政府地名行政主管部门和其他有关部门可以委托第三方机构对地名的命名、更名、使用、文化保护等情况进行评估。</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任何单位和个人发现违反本条例规定行为的，可以向县级以上地方人民政府地名行政主管部门或者其他有关部门举报。接到举报的部门应当依法处理。有关部门应当对举报人的相关信息予以保密。</w:t>
      </w:r>
    </w:p>
    <w:p>
      <w:pPr>
        <w:pStyle w:val="3"/>
        <w:pageBreakBefore w:val="0"/>
        <w:kinsoku/>
        <w:wordWrap/>
        <w:overflowPunct/>
        <w:topLinePunct w:val="0"/>
        <w:autoSpaceDE/>
        <w:autoSpaceDN/>
        <w:bidi w:val="0"/>
        <w:adjustRightInd/>
        <w:snapToGrid/>
        <w:spacing w:before="0" w:beforeAutospacing="0" w:after="0" w:afterAutospacing="0"/>
        <w:textAlignment w:val="auto"/>
      </w:pPr>
      <w:r>
        <w:t>第六章　法律责任</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县级以上地方人民政府地名批准机关违反本条例规定进行地名命名、更名的，由其上一级行政机关责令改正，对该批准机关负有责任的领导人员和其他直接责任人员依法给予处分。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县级以上地方人民政府地名批准机关不报送备案或者未按时报送备案的，由国务院地名行政主管部门或者上一级人民政府地名行政主管部门通知该批准机关，限期报送；逾期仍未报送的，对直接责任人员依法给予处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违反本条例第四条、第九条、第十条、第十二条规定，擅自进行地名命名、更名的，由有审批权的行政机关责令限期改正；逾期不改正的，予以取缔，并对违法单位通报批评。</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违反本条例第十八条规定，未使用或者未规范使用标准地名的，由县级以上地方人民政府地名行政主管部门或者其他有关部门责令限期改正</w:t>
      </w:r>
      <w:r>
        <w:rPr>
          <w:rFonts w:hint="eastAsia" w:ascii="仿宋_GB2312" w:hAnsi="仿宋_GB2312" w:eastAsia="仿宋_GB2312" w:cs="仿宋_GB2312"/>
          <w:sz w:val="32"/>
          <w:szCs w:val="32"/>
        </w:rPr>
        <w:t>；逾期不改正的，对违法单位通报批评，并通知有关主管部门依法处理；对违法单位的法定代表人或者主要负责人、直接负责的主管人员和其他直接责任人员，处2000元以上1万元以下罚款。</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擅自设置、拆除、移动、涂改、遮挡、损毁地名标志的，</w:t>
      </w:r>
      <w:r>
        <w:rPr>
          <w:rFonts w:hint="eastAsia" w:ascii="仿宋_GB2312" w:hAnsi="仿宋_GB2312" w:eastAsia="仿宋_GB2312" w:cs="仿宋_GB2312"/>
          <w:sz w:val="32"/>
          <w:szCs w:val="32"/>
        </w:rPr>
        <w:t>由地名标志设置、维护和管理部门责令改正并对责任人员处1000元以上5000元以下罚款</w:t>
      </w:r>
      <w:r>
        <w:rPr>
          <w:rFonts w:ascii="Times New Roman" w:hAnsi="Times New Roman" w:eastAsia="仿宋_GB2312" w:cs="Times New Roman"/>
          <w:sz w:val="32"/>
          <w:szCs w:val="32"/>
        </w:rPr>
        <w:t>。</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第三方机构对地名的命名、更名、使用、文化保护等情况出具虚假评估报告的，由县级以上地方人民政府地名行政</w:t>
      </w:r>
      <w:r>
        <w:rPr>
          <w:rFonts w:hint="eastAsia" w:ascii="仿宋_GB2312" w:hAnsi="仿宋_GB2312" w:eastAsia="仿宋_GB2312" w:cs="仿宋_GB2312"/>
          <w:sz w:val="32"/>
          <w:szCs w:val="32"/>
        </w:rPr>
        <w:t>主管部门给予警告，有违法所得的，没收违法所得；情节严重的，5年内禁止从</w:t>
      </w:r>
      <w:r>
        <w:rPr>
          <w:rFonts w:ascii="Times New Roman" w:hAnsi="Times New Roman" w:eastAsia="仿宋_GB2312" w:cs="Times New Roman"/>
          <w:sz w:val="32"/>
          <w:szCs w:val="32"/>
        </w:rPr>
        <w:t>事地名相关评估工作。</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公职人员在地名管理工作中有滥用职权、玩忽职守、徇私舞弊行为的，依法给予处分。</w:t>
      </w:r>
    </w:p>
    <w:p>
      <w:pPr>
        <w:pStyle w:val="3"/>
        <w:pageBreakBefore w:val="0"/>
        <w:kinsoku/>
        <w:wordWrap/>
        <w:overflowPunct/>
        <w:topLinePunct w:val="0"/>
        <w:autoSpaceDE/>
        <w:autoSpaceDN/>
        <w:bidi w:val="0"/>
        <w:adjustRightInd/>
        <w:snapToGrid/>
        <w:spacing w:before="0" w:beforeAutospacing="0" w:after="0" w:afterAutospacing="0"/>
        <w:textAlignment w:val="auto"/>
      </w:pPr>
      <w:r>
        <w:t>第七章　附　　则</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各国管辖范围外区域的地理实体和天体地理实体命名、更名的规则和程序，由国务院地名行政主管部门会同有关部门制定。</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纪念设施、遗址的命名、更名，按照国家有关规定办理。</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国务院地名行政主管部门可以依据本条例的规定，制定具体实施办法。</w:t>
      </w:r>
    </w:p>
    <w:p>
      <w:pPr>
        <w:pStyle w:val="11"/>
        <w:pageBreakBefore w:val="0"/>
        <w:kinsoku/>
        <w:wordWrap/>
        <w:overflowPunct/>
        <w:topLinePunct w:val="0"/>
        <w:autoSpaceDE/>
        <w:autoSpaceDN/>
        <w:bidi w:val="0"/>
        <w:adjustRightInd/>
        <w:snapToGrid/>
        <w:spacing w:beforeAutospacing="0" w:afterAutospacing="0"/>
        <w:ind w:firstLine="640" w:firstLineChars="200"/>
        <w:textAlignment w:val="auto"/>
        <w:rPr>
          <w:rFonts w:ascii="Times New Roman" w:hAnsi="Times New Roman"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条例自2022年5月1日起施行</w:t>
      </w:r>
      <w:r>
        <w:rPr>
          <w:rFonts w:ascii="Times New Roman" w:hAnsi="Times New Roman" w:eastAsia="仿宋_GB2312" w:cs="Times New Roman"/>
          <w:sz w:val="32"/>
          <w:szCs w:val="32"/>
        </w:rPr>
        <w:t>。</w:t>
      </w:r>
    </w:p>
    <w:p>
      <w:pPr>
        <w:pageBreakBefore w:val="0"/>
        <w:widowControl/>
        <w:kinsoku/>
        <w:wordWrap/>
        <w:overflowPunct/>
        <w:topLinePunct w:val="0"/>
        <w:autoSpaceDE/>
        <w:autoSpaceDN/>
        <w:bidi w:val="0"/>
        <w:adjustRightInd/>
        <w:snapToGrid/>
        <w:spacing w:beforeAutospacing="0" w:afterAutospacing="0" w:line="500" w:lineRule="exact"/>
        <w:ind w:firstLine="640" w:firstLineChars="200"/>
        <w:jc w:val="left"/>
        <w:textAlignment w:val="auto"/>
        <w:rPr>
          <w:rFonts w:ascii="楷体_GB2312" w:hAnsi="宋体" w:eastAsia="楷体_GB2312" w:cs="楷体_GB2312"/>
          <w:bCs/>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408AA"/>
    <w:rsid w:val="000773AB"/>
    <w:rsid w:val="000917B9"/>
    <w:rsid w:val="0009183C"/>
    <w:rsid w:val="000A5459"/>
    <w:rsid w:val="000C4C92"/>
    <w:rsid w:val="000E1E0F"/>
    <w:rsid w:val="000E61BB"/>
    <w:rsid w:val="001070C3"/>
    <w:rsid w:val="001123A3"/>
    <w:rsid w:val="001308F7"/>
    <w:rsid w:val="00131E40"/>
    <w:rsid w:val="00143772"/>
    <w:rsid w:val="00150FEA"/>
    <w:rsid w:val="001B30ED"/>
    <w:rsid w:val="001D2E61"/>
    <w:rsid w:val="001E555F"/>
    <w:rsid w:val="002232B1"/>
    <w:rsid w:val="002262E9"/>
    <w:rsid w:val="00275D1B"/>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4F0CA9"/>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9561C"/>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12E1"/>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80243B"/>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872E8"/>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684FA1"/>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Pages>12</Pages>
  <Words>5033</Words>
  <Characters>5063</Characters>
  <Lines>37</Lines>
  <Paragraphs>10</Paragraphs>
  <TotalTime>4</TotalTime>
  <ScaleCrop>false</ScaleCrop>
  <LinksUpToDate>false</LinksUpToDate>
  <CharactersWithSpaces>5120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2023-05-11T02:32:12Z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