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中华人民共和国海关</w:t>
      </w:r>
    </w:p>
    <w:p>
      <w:pPr>
        <w:pStyle w:val="10"/>
        <w:jc w:val="center"/>
        <w:rPr>
          <w:rFonts w:ascii="Times New Roman" w:hAnsi="Times New Roman" w:cs="Times New Roman"/>
          <w:sz w:val="32"/>
          <w:szCs w:val="32"/>
        </w:rPr>
      </w:pPr>
      <w:r>
        <w:rPr>
          <w:rFonts w:ascii="Times New Roman" w:hAnsi="Times New Roman" w:cs="Times New Roman"/>
          <w:sz w:val="44"/>
          <w:szCs w:val="44"/>
        </w:rPr>
        <w:t>对出口加工区监管的暂行办法</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r>
        <w:rPr>
          <w:rFonts w:hint="eastAsia" w:ascii="Times New Roman" w:hAnsi="Times New Roman" w:eastAsia="楷体_GB2312" w:cs="Times New Roman"/>
          <w:sz w:val="32"/>
          <w:szCs w:val="32"/>
        </w:rPr>
        <w:t>2000年4月27日国务院批准　2000年5月24日海关总署令第81号公布　根据2003年9月2日《国务院关于修改〈中华人民共和国海关对出口加工区监管的暂行办法〉的决定》第一次修订　根据2011年1月8日《国务院关于废止和修改部分行政法规的决定》第二次修订</w:t>
      </w:r>
      <w:r>
        <w:rPr>
          <w:rFonts w:ascii="Times New Roman" w:hAnsi="Times New Roman" w:eastAsia="楷体_GB2312" w:cs="Times New Roman"/>
          <w:sz w:val="32"/>
          <w:szCs w:val="32"/>
        </w:rPr>
        <w:t>)</w:t>
      </w:r>
      <w:bookmarkStart w:id="0" w:name="_GoBack"/>
      <w:bookmarkEnd w:id="0"/>
    </w:p>
    <w:p>
      <w:pPr>
        <w:pStyle w:val="3"/>
      </w:pPr>
      <w:r>
        <w:rPr>
          <w:rFonts w:ascii="Times New Roman" w:hAnsi="Times New Roman" w:cs="Times New Roman"/>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为加强与完善加工贸易管理，规范海关对出口加工区的监管，促进出口加工区的健康发展，鼓励扩大外贸出口，根据《中华人民共和国海关法》和国家有关法律、法规，制定本办法。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为防止重复建设，在中华人民共和国境内设立出口加工区(以下简称加工区)，只能设在已经国务院批准的现有经济技术开发区内，并由省(自治区、直辖市)人民政府报国务院批准。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加工区是海关监管的特定区域。海关在加工区内设立机构，并依照本办法，对进、出加工区的货物及区内相关场所实行24小时监管。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加工区与中华人民共和国境内的其他地区(以下简称区外)之间，须设置符合海关监管要求的隔离设施及闭路电视监控系统。经海关总署对加工区的隔离设施验收合格后，方可开展加工区有关业务。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区内设置加工区管理委员会和出口加工企业、专为出口加工企业生产提供服务的仓储企业以及经海关核准专门从事加工区内货物进、出的运输企业。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除安全保卫人员和企业值班人员外，其他人员不得在加工区内居住。不得建立营业性的生活消费设施。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区内不得经营商业零售、一般贸易、转口贸易及其他与加工区无关的业务。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在加工区内设立的企业(以下简称区内企业)，应向海关办理注册手续。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区内企业应当依据《中华人民共和国会计法》及国家有关法律、法规的规定，设置符合海关监管要求的账簿、报表。凭合法、有效凭证记账并进行核算，记录本企业有关进、出加工区货物和物品的库存、转让、转移、销售、加工、使用和损耗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加工区实行计算机联网管理和海关稽查制度。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区内企业应建立符合海关监管要求的电子计算机管理数据库，并与海关实行电子计算机联网，进行电子数据交换。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区内企业开展加工贸易业务不实行加工贸易银行保证金台账制度，海关不实行《加工贸易登记手册》管理。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海关对进、出加工区的货物、物品、运输工具、人员及区内有关场所，有权依照《中华人民共和国海关法》的规定进行检查、查验。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国家对区内加工产品不征收增值税。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国家禁止进、出口的货物、物品，不得进、出加工区。</w:t>
      </w:r>
    </w:p>
    <w:p>
      <w:pPr>
        <w:pStyle w:val="3"/>
        <w:rPr>
          <w:rFonts w:ascii="Times New Roman" w:hAnsi="Times New Roman" w:eastAsia="仿宋_GB2312" w:cs="Times New Roman"/>
        </w:rPr>
      </w:pPr>
      <w:r>
        <w:t>第二章　对加工区与境外之间进出货物的监管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加工区与境外之间进、出的货物，由货主或其代理人根据加工区管理委员会的批件，填写进、出境货物备案清单，向主管海关备案。备案清单由海关总署统一制发。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海关对加工区与境外之间进、出的货物，按照直通式或转关运输的办法进行监管。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加工区与境外之间进、出的货物，除实行出口被动配额管理的外，不实行进出口配额、许可证件管理。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从境外进入加工区的货物，其进口关税和进口环节税，除法律、法规另有规定外，按照下列规定办理：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(一)区内生产性的基础设施建设项目所需的机器、设备和建设生产厂房、仓储设施所需的基建物资，予以免税；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(二)区内企业生产所需的机器、设备、模具及其维修用零配件，予以免税；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(三)区内企业为加工出口产品所需的原材料、零部件、元器件、包装物料及消耗性材料，予以保税；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(四)区内企业和行政管理机构自用合理数量的办公用品，予以免税；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(五)区内企业和行政管理机构自用的交通运输工具、生活消费用品，按进口货物的有关规定办理报关手续，海关予以照章征税。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除法律、法规另有规定外，区内企业加工的制成品及其在加工生产过程中产生的边角料、余料、残次品、废品等销往境外的，免征出口关税。</w:t>
      </w:r>
    </w:p>
    <w:p>
      <w:pPr>
        <w:pStyle w:val="3"/>
      </w:pPr>
      <w:r>
        <w:t>第三章　对加工区与区外之间进出货物的监管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对加工区运往区外的货物，海关按照对进口货物的有关规定办理报关手续，并按照制成品征税。如属许可证件管理商品，还应向海关出具有效的进口许可证件。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区内企业的加工产品和在加工生产过程中产生的边角料、残次品、废品等应复运出境。因特殊情况需要运往区外时，由企业申请，经主管海关核准后，按内销时的状态确定归类并征税。如属进口许可证件管理商品，免领进口许可证件。如属《限制进口类可用作原料的废物目录》所列商品，应按现行规定向环保部门申领进口许可证件。对无商业价值的边角料和废品，需运往区外销毁的，应凭加工区管理委员会和环保部门的批件，向主管海关办理出区手续，海关予以免进口许可证件、免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区内企业在确有需要时，可将有关模具、半成品等运往区外进行加工。经加工区主管海关关长批准，由接受委托的区外企业向加工区主管海关缴纳货物应征关税和进口环节增值税等值保证金或保函后办理出区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委托区外企业加工的期限由加工区主管海关参照合同期限核定。货物加工完毕后应按期运回区内。区内企业凭出区时填写的委托区外加工申请书及有关单证，向加工区主管海关办理验放核销手续。加工区主管海关在办理验放核销手续后，应及时退还保证金或保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区内企业销往区外的机器、设备、模具等，按照国家现行进口政策及有关规定办理。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区内企业经主管海关批准，可在区外进行产品的测试、检验和展示活动。测试、检验和展示的产品，应比照海关对暂时进口货物的管理规定办理出区手续。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区内使用的机器、设备、模具和办公用品等，须运往区外进行维修、测试或检验时，区内企业或管理机构应填写《出口加工区货物运往区外维修查验联系单》，向主管海关提出申请，并经主管海关核准、登记、查验后，方可将机器、设备、模具和办公用品等运往区外维修、测试或检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区内企业将模具运往区外维修、测试或检验时，应留存模具所生产产品的样品，以备海关对运回区内的模具进行核查。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运往区外维修、测试或检验的机器、设备、模具和办公用品等，不得用于区外加工生产和使用。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运往区外维修、测试或检验的机器、设备、模具和办公用品等，应自运出之日起2个月内运回加工区。因特殊情况不能如期运回的，区内企业应于期限届满前7天内，向主管海关说明情况，并申请延期。申请延期以1次为限，延长期限不得超过1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运往区外维修的机器、设备、模具和办公用品等，运回区内时，要以海关能辨认其为原物或同一规格的新零件、配件或附件为限，但更换新零件、配件或附件的，原零件、配件或附件应一并运回区内。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从区外进入加工区的货物视同出口，办理出口报关手续。其出口退税，除法律、法规另有规定外，按照以下规定办理：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从区外进入加工区供区内企业使用的国产机器、设备、原材料、零部件、元器件、包装物料以及建造基础设施、加工企业和行政管理部门生产、办公用房所需合理数量的基建物资等，海关按照对出口货物的有关规定办理报关手续，并签发出口退税报关单。区外企业凭报关单出口退税联向税务部门申请办理出口退(免)税手续，具体退(免)税管理办法由国家税务总局另行下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(二)从区外进入加工区供区内企业和行政管理机构使用的生活消费用品、交通运输工具等，海关不予签发出口退税报关单。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从区外进入加工区的进口机器、设备、原材料、零部件、元器件、包装物料、基建物资等，区外企业应当向海关提供上述货物或物品的清单，并办理出口报关手续，经海关查验后放行。上述货物或物品，已经缴纳的进口环节税，不予退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因国内技术无法达到产品要求、须将国家禁止出口或统一经营商品运至加工区内进行某项工序加工的，应报经商务部批准，海关比照出料加工管理办法进行监管，其运入加工区的货物，不予签发出口退税报关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从区外进入加工区的货物、物品，应运入加工区内海关指定仓库或地点，区外企业填写出口报关单，并持境内购货发票、装箱单，向加工区的主管海关办理报关手续。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从区外进入加工区的货物，须经区内企业进行实质性加工后，方可运出境外。</w:t>
      </w:r>
    </w:p>
    <w:p>
      <w:pPr>
        <w:pStyle w:val="3"/>
      </w:pPr>
      <w:r>
        <w:t>第四章　对加工区内货物的监管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区内企业进、出加工区的货物须向其主管海关如实申报，海关依据备案清单及有关单证，对区内企业进、出加工区的货物进行查验、放行和核销。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海关对进、出加工区货物的备案、报关、查验、放行、核销手续应在区内办理。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加工区内的货物可在区内企业之间转让、转移，双方当事人须事先将转让、转移货物的具体品名、数量、金额等有关事项向海关备案。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区内加工企业，不得将未经实质性加工的进口原材料、零部件销往区外。区内从事仓储服务的企业，不得将仓储的原材料、零部件提供给区外企业。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区内企业自开展出口加工业务或仓储业务之日起，每半年持本企业账册和有关单据，向其主管海关办理一次核销手续。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进入加工区的货物，在加工、储存期间，因不可抗力造成短少、损毁的，区内加工企业或仓储企业应自发现之日起10日内报告主管海关，并说明理由。经海关核实确认后，准其在账册内减除。</w:t>
      </w:r>
    </w:p>
    <w:p>
      <w:pPr>
        <w:pStyle w:val="3"/>
        <w:rPr>
          <w:rFonts w:ascii="Times New Roman" w:hAnsi="Times New Roman" w:eastAsia="仿宋_GB2312" w:cs="Times New Roman"/>
        </w:rPr>
      </w:pPr>
      <w:r>
        <w:t>第五章　对加工区之间往来货物的监管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加工区之间货物的往来，应由收、发货物双方联名向转出区主管海关提出申请。经海关核准后，按照转关运输的有关规定办理。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货物转关至其他加工区时，转入区主管海关在核对封志完整及单货相符后，即予放行入厂或入库。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加工区之间往来的货物不能按照转关运输办理的，转入区主管海关应向收货企业收取货物等值的担保金。货物运抵转入区并经海关核对无误后，主管海关应在10个工作日内，将担保金退还企业。</w:t>
      </w:r>
    </w:p>
    <w:p>
      <w:pPr>
        <w:pStyle w:val="3"/>
      </w:pPr>
      <w:r>
        <w:t>第六章　对进、出加工区运输工具和个人携带物品的监管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运输工具和人员应经海关指定的专用通道进、出加工区。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从加工区运往境外的加工产品及由加工区运往区外的货物，经海关查验放行后，应交由经海关核准、并由设立于区内的专营运输企业承运。下列货物经主管海关查验后，可由企业指派专人携带或自行运输：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(一)价值1万美元及以下的小额物品；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(二)因品质不合格复运区外退换的物品；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(三)已办理进口纳税手续的物品；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(四)其他经海关核准的物品。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进、出加工区货物的运输工具的负责人，应持企业法人营业执照和运输工具的名称、数量、牌照号码及驾驶员姓名等清单，向海关办理登记备案手续。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承运加工区货物进、出加工区或转关运输的所有运输企业的经营人，应遵守海关有关运输工具及其所载货物的管理规定，并承担相关的法律责任。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未经海关批准，从加工区到区外的运输工具和人员不得运输、携带加工区内货物出区。</w:t>
      </w:r>
    </w:p>
    <w:p>
      <w:pPr>
        <w:pStyle w:val="3"/>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从境外运入加工区的货物和从加工区运出境外的货物列入进、出口统计。从区外运入加工区和从加工区运往区外的货物，实施单项统计。统计办法由海关总署另行制定。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违反本办法规定的，由海关依照《中华人民共和国海关法》及《中华人民共和国海关行政处罚实施条例》的有关规定进行处理。</w:t>
      </w:r>
    </w:p>
    <w:p>
      <w:pPr>
        <w:ind w:firstLine="640" w:firstLineChars="200"/>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本办法自2000年5月24日起施行。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539A4"/>
    <w:rsid w:val="00574409"/>
    <w:rsid w:val="00574DA9"/>
    <w:rsid w:val="005F72E4"/>
    <w:rsid w:val="0060279C"/>
    <w:rsid w:val="00604330"/>
    <w:rsid w:val="006405E2"/>
    <w:rsid w:val="006848F5"/>
    <w:rsid w:val="006E4125"/>
    <w:rsid w:val="00723BD5"/>
    <w:rsid w:val="00730ACC"/>
    <w:rsid w:val="00735841"/>
    <w:rsid w:val="00754610"/>
    <w:rsid w:val="00774219"/>
    <w:rsid w:val="0077596B"/>
    <w:rsid w:val="007953C3"/>
    <w:rsid w:val="007A2BEC"/>
    <w:rsid w:val="007C74E7"/>
    <w:rsid w:val="007C7C0F"/>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C54AC9"/>
    <w:rsid w:val="18413C16"/>
    <w:rsid w:val="198A0A54"/>
    <w:rsid w:val="19DB6C33"/>
    <w:rsid w:val="1C9212F7"/>
    <w:rsid w:val="1D0345C9"/>
    <w:rsid w:val="20D86240"/>
    <w:rsid w:val="21CE0F2E"/>
    <w:rsid w:val="22DD4281"/>
    <w:rsid w:val="253620CC"/>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4855567"/>
    <w:rsid w:val="47A250A3"/>
    <w:rsid w:val="48502FA2"/>
    <w:rsid w:val="48AC4D69"/>
    <w:rsid w:val="494B3B16"/>
    <w:rsid w:val="49C224B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B6A71F7"/>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11</Pages>
  <Words>4350</Words>
  <Characters>4373</Characters>
  <Lines>31</Lines>
  <Paragraphs>8</Paragraphs>
  <TotalTime>17</TotalTime>
  <ScaleCrop>false</ScaleCrop>
  <LinksUpToDate>false</LinksUpToDate>
  <CharactersWithSpaces>4429</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2023-03-28T06:34:00Z</dcterms:created>
  <dc:creator>Administrator</dc:creator>
  <cp:lastModifiedBy>阿拉灯神丁</cp:lastModifiedBy>
  <dcterms:modified xsi:type="dcterms:W3CDTF">2023-04-12T07:47:49Z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4CA3E91CB34B49C9AFC22395E4A85C9F_12</vt:lpwstr>
  </property>
</Properties>
</file>