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41396" w14:textId="77777777" w:rsidR="002568D1" w:rsidRDefault="002568D1">
      <w:pPr>
        <w:pStyle w:val="a3"/>
        <w:ind w:firstLineChars="200" w:firstLine="640"/>
        <w:rPr>
          <w:rFonts w:ascii="Times New Roman" w:eastAsia="仿宋_GB2312" w:hAnsi="Times New Roman" w:cs="Times New Roman"/>
          <w:sz w:val="32"/>
          <w:szCs w:val="32"/>
        </w:rPr>
      </w:pPr>
    </w:p>
    <w:p w14:paraId="3ED04705" w14:textId="77777777" w:rsidR="002568D1" w:rsidRDefault="002570C2">
      <w:pPr>
        <w:pStyle w:val="a3"/>
        <w:jc w:val="center"/>
        <w:rPr>
          <w:rFonts w:ascii="Times New Roman" w:hAnsi="Times New Roman" w:cs="Times New Roman"/>
          <w:sz w:val="32"/>
          <w:szCs w:val="32"/>
        </w:rPr>
      </w:pPr>
      <w:r>
        <w:rPr>
          <w:rFonts w:ascii="Times New Roman" w:hAnsi="Times New Roman" w:cs="Times New Roman"/>
          <w:sz w:val="44"/>
          <w:szCs w:val="44"/>
        </w:rPr>
        <w:t>城市节约用水管理规定</w:t>
      </w:r>
    </w:p>
    <w:p w14:paraId="57416973" w14:textId="77777777" w:rsidR="002568D1" w:rsidRDefault="002568D1">
      <w:pPr>
        <w:pStyle w:val="a3"/>
        <w:ind w:firstLineChars="200" w:firstLine="640"/>
        <w:jc w:val="center"/>
        <w:rPr>
          <w:rFonts w:ascii="Times New Roman" w:hAnsi="Times New Roman" w:cs="Times New Roman"/>
          <w:sz w:val="32"/>
          <w:szCs w:val="32"/>
        </w:rPr>
      </w:pPr>
    </w:p>
    <w:p w14:paraId="03774A6E" w14:textId="77777777" w:rsidR="002568D1" w:rsidRDefault="002570C2">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(1988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30</w:t>
      </w:r>
      <w:r>
        <w:rPr>
          <w:rFonts w:ascii="Times New Roman" w:eastAsia="楷体_GB2312" w:hAnsi="Times New Roman" w:cs="Times New Roman"/>
          <w:sz w:val="32"/>
          <w:szCs w:val="32"/>
        </w:rPr>
        <w:t xml:space="preserve">日国务院批准　</w:t>
      </w:r>
      <w:r>
        <w:rPr>
          <w:rFonts w:ascii="Times New Roman" w:eastAsia="楷体_GB2312" w:hAnsi="Times New Roman" w:cs="Times New Roman"/>
          <w:sz w:val="32"/>
          <w:szCs w:val="32"/>
        </w:rPr>
        <w:t>1988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20</w:t>
      </w:r>
      <w:r>
        <w:rPr>
          <w:rFonts w:ascii="Times New Roman" w:eastAsia="楷体_GB2312" w:hAnsi="Times New Roman" w:cs="Times New Roman"/>
          <w:sz w:val="32"/>
          <w:szCs w:val="32"/>
        </w:rPr>
        <w:t>日建设部令第</w:t>
      </w:r>
      <w:r>
        <w:rPr>
          <w:rFonts w:ascii="Times New Roman" w:eastAsia="楷体_GB2312" w:hAnsi="Times New Roman" w:cs="Times New Roman"/>
          <w:sz w:val="32"/>
          <w:szCs w:val="32"/>
        </w:rPr>
        <w:t>1</w:t>
      </w:r>
      <w:r>
        <w:rPr>
          <w:rFonts w:ascii="Times New Roman" w:eastAsia="楷体_GB2312" w:hAnsi="Times New Roman" w:cs="Times New Roman"/>
          <w:sz w:val="32"/>
          <w:szCs w:val="32"/>
        </w:rPr>
        <w:t>号发布　自</w:t>
      </w:r>
      <w:r>
        <w:rPr>
          <w:rFonts w:ascii="Times New Roman" w:eastAsia="楷体_GB2312" w:hAnsi="Times New Roman" w:cs="Times New Roman"/>
          <w:sz w:val="32"/>
          <w:szCs w:val="32"/>
        </w:rPr>
        <w:t>1989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日起施行</w:t>
      </w:r>
      <w:r>
        <w:rPr>
          <w:rFonts w:ascii="Times New Roman" w:eastAsia="楷体_GB2312" w:hAnsi="Times New Roman" w:cs="Times New Roman"/>
          <w:sz w:val="32"/>
          <w:szCs w:val="32"/>
        </w:rPr>
        <w:t>)</w:t>
      </w:r>
    </w:p>
    <w:p w14:paraId="126F15C9" w14:textId="77777777" w:rsidR="002568D1" w:rsidRDefault="002568D1">
      <w:pPr>
        <w:pStyle w:val="a3"/>
        <w:ind w:firstLineChars="200" w:firstLine="640"/>
        <w:rPr>
          <w:rFonts w:ascii="Times New Roman" w:hAnsi="Times New Roman" w:cs="Times New Roman"/>
          <w:sz w:val="32"/>
          <w:szCs w:val="32"/>
        </w:rPr>
      </w:pPr>
    </w:p>
    <w:p w14:paraId="4AA37FDC"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为加强城市节约用水管理，保护和合理利用水资源，促进国民经济和社会发展，制定本规定。</w:t>
      </w:r>
    </w:p>
    <w:p w14:paraId="7D6CEB77"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本规定适用于城市规划区内节约用水的管理工作。</w:t>
      </w:r>
    </w:p>
    <w:p w14:paraId="56923E8C"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在城市规划区内使用公共供水和自建设施供水的单位和个人，必须遵守本规定。</w:t>
      </w:r>
    </w:p>
    <w:p w14:paraId="437666B0"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城市实行计划用水和节约用水。</w:t>
      </w:r>
    </w:p>
    <w:p w14:paraId="304E4202"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国家鼓励城市节约用水科学技术研究，推广先进技术，提高城市节约用水科学技术水平。</w:t>
      </w:r>
    </w:p>
    <w:p w14:paraId="454718EC"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在城市节约用水工作中作出显著成绩的单位和个人，由人民政府给予奖励。</w:t>
      </w:r>
    </w:p>
    <w:p w14:paraId="5393F98A"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国务院城市建设行政主管部门主管全国的城市节约用水工作，业务上受国务院水行政主管部门指导。</w:t>
      </w:r>
    </w:p>
    <w:p w14:paraId="6ED8FADF"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国务院其他有关部门按照国务院规定的职责分工，负责本行业的节约用水管理工作。</w:t>
      </w:r>
    </w:p>
    <w:p w14:paraId="151D31C1"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省、自治区人民政府和县级以上城市人民政府城市建设行政主管部门和其他有关行业行政主管部门，按照同级人民政府规定的职责分工，负责城市节约用水管理工作。</w:t>
      </w:r>
    </w:p>
    <w:p w14:paraId="1C0A6C97"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城市人民政府应当在制定城市供水发展规划的同时，制定节约用水发展规划，并根据节约用水发展规划制定节约用水年度计划。</w:t>
      </w:r>
    </w:p>
    <w:p w14:paraId="56F4AE87"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各有关行业行政主管部门应当制定本行业的节约用水发展规划和节约用水年度计划。</w:t>
      </w:r>
    </w:p>
    <w:p w14:paraId="03D84A70"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工业用水重复利用率低于</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不包括热电厂用水</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的城市，新建供水工程时，未经上一级城市建设行政主管部门的同意，不得新增工业用水量。</w:t>
      </w:r>
    </w:p>
    <w:p w14:paraId="1BAC528D"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单位自建供水设施取用地下水，必须经城市建设行政主管部门核准后，依照国家规定申请取水许可。</w:t>
      </w:r>
    </w:p>
    <w:p w14:paraId="3CE7B6FA"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城市的新建、扩建和改建工程项目，应当配套建设节约用水设施。城市建设行政主管部</w:t>
      </w:r>
      <w:r>
        <w:rPr>
          <w:rFonts w:ascii="Times New Roman" w:eastAsia="仿宋_GB2312" w:hAnsi="Times New Roman" w:cs="Times New Roman"/>
          <w:sz w:val="32"/>
          <w:szCs w:val="32"/>
        </w:rPr>
        <w:t>门应当参加节约用水设施的竣工验收。</w:t>
      </w:r>
    </w:p>
    <w:p w14:paraId="206360CD"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城市建设行政主管部门应当会同有关行业行政主管部门制定行业综合用水定额和单项用水定额。</w:t>
      </w:r>
    </w:p>
    <w:p w14:paraId="1F8552FE"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城市用水计划由城市建设行政主管部门根据水资源统筹规划和水长期供求计划制定，并下达执行。</w:t>
      </w:r>
    </w:p>
    <w:p w14:paraId="58CDAECB"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超计划用水必须缴纳超计划用水加价水费。超计划用水加价水费，应当从税后留利或者预算包干经费中支出，不得纳入成本或者从当年预算中支出。</w:t>
      </w:r>
    </w:p>
    <w:p w14:paraId="65B77763"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超计划用水加价水费的具体征收办法由省、自治区、直辖市人民政府制定。</w:t>
      </w:r>
    </w:p>
    <w:p w14:paraId="4A6C0268"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生活用水按户计量收费。新建住宅应当安装分户计量水表；现有住户未装分户计量水</w:t>
      </w:r>
      <w:r>
        <w:rPr>
          <w:rFonts w:ascii="Times New Roman" w:eastAsia="仿宋_GB2312" w:hAnsi="Times New Roman" w:cs="Times New Roman"/>
          <w:sz w:val="32"/>
          <w:szCs w:val="32"/>
        </w:rPr>
        <w:t>表的，应当限期安装。</w:t>
      </w:r>
    </w:p>
    <w:p w14:paraId="2CA529C6"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各用水单位应当在用水设备上安装计量水表，进行用水单耗考核，降低单位产品用水量；应当采取循环用水、一水多用等措施，在保证用水质量标准的前提下，提高水的重复利用率。</w:t>
      </w:r>
    </w:p>
    <w:p w14:paraId="57404A2C"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水资源紧缺城市，应当在保证用水质量标准的前提下，采取措施提高城市污水利用率。</w:t>
      </w:r>
    </w:p>
    <w:p w14:paraId="586A717E"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沿海城市应当积极开发利用海水资源。</w:t>
      </w:r>
    </w:p>
    <w:p w14:paraId="0690E41D"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有咸水资源的城市，应当合理开发利用咸水资源。</w:t>
      </w:r>
    </w:p>
    <w:p w14:paraId="7F8BF13E"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城市供水企业、自建供水设施的单位应当加强供水设施的维修管理，减少水的漏损量。</w:t>
      </w:r>
    </w:p>
    <w:p w14:paraId="36B2C705"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各级统计部门、城市建设行政主管部门应当做好城市节约用水统计工作。</w:t>
      </w:r>
    </w:p>
    <w:p w14:paraId="0389C916"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城市的新建、扩建和改建工程项目未按规定配套</w:t>
      </w:r>
      <w:r>
        <w:rPr>
          <w:rFonts w:ascii="Times New Roman" w:eastAsia="仿宋_GB2312" w:hAnsi="Times New Roman" w:cs="Times New Roman"/>
          <w:sz w:val="32"/>
          <w:szCs w:val="32"/>
        </w:rPr>
        <w:lastRenderedPageBreak/>
        <w:t>建设节约用水设施或者节约用水设施经验收不合格的，由城市建设行政主管部门限制其用水量，并责令其限期完善节约用水设施，可以并处罚款。</w:t>
      </w:r>
    </w:p>
    <w:p w14:paraId="57F4024B"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超计划用水加价水费必须按规定的期限缴纳。逾期不缴纳的，城市建设行政主管部门除限期缴纳外，并按日加收超计划用水加价水费</w:t>
      </w:r>
      <w:r>
        <w:rPr>
          <w:rFonts w:ascii="Times New Roman" w:eastAsia="仿宋_GB2312" w:hAnsi="Times New Roman" w:cs="Times New Roman"/>
          <w:sz w:val="32"/>
          <w:szCs w:val="32"/>
        </w:rPr>
        <w:t>50</w:t>
      </w:r>
      <w:r>
        <w:rPr>
          <w:rFonts w:eastAsia="仿宋_GB2312" w:hAnsi="宋体" w:cs="Times New Roman"/>
          <w:sz w:val="32"/>
          <w:szCs w:val="32"/>
        </w:rPr>
        <w:t>‰</w:t>
      </w:r>
      <w:r>
        <w:rPr>
          <w:rFonts w:ascii="Times New Roman" w:eastAsia="仿宋_GB2312" w:hAnsi="Times New Roman" w:cs="Times New Roman"/>
          <w:sz w:val="32"/>
          <w:szCs w:val="32"/>
        </w:rPr>
        <w:t>的滞纳金。</w:t>
      </w:r>
    </w:p>
    <w:p w14:paraId="4708E504"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拒不安装生活用水分户计</w:t>
      </w:r>
      <w:r>
        <w:rPr>
          <w:rFonts w:ascii="Times New Roman" w:eastAsia="仿宋_GB2312" w:hAnsi="Times New Roman" w:cs="Times New Roman"/>
          <w:sz w:val="32"/>
          <w:szCs w:val="32"/>
        </w:rPr>
        <w:t>量水表的，城市建设行政主管部门应当责令其限期安装；逾期仍不安装的，由城市建设行政主管部门限制其用水量，可以并处罚款。</w:t>
      </w:r>
    </w:p>
    <w:p w14:paraId="3B46A844" w14:textId="30B49E69"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当事人对行政处罚决定不服的，可以在接到处罚通知次日起</w:t>
      </w:r>
      <w:r>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日内，向作出处罚决定</w:t>
      </w:r>
      <w:r>
        <w:rPr>
          <w:rFonts w:ascii="Times New Roman" w:eastAsia="仿宋_GB2312" w:hAnsi="Times New Roman" w:cs="Times New Roman"/>
          <w:sz w:val="32"/>
          <w:szCs w:val="32"/>
        </w:rPr>
        <w:t>机关的上一级机关申请复议；对复议决定</w:t>
      </w:r>
      <w:r>
        <w:rPr>
          <w:rFonts w:ascii="Times New Roman" w:eastAsia="仿宋_GB2312" w:hAnsi="Times New Roman" w:cs="Times New Roman"/>
          <w:spacing w:val="11"/>
          <w:sz w:val="32"/>
          <w:szCs w:val="32"/>
        </w:rPr>
        <w:t>不服的，可以在接到复议通知次日起</w:t>
      </w:r>
      <w:r>
        <w:rPr>
          <w:rFonts w:ascii="Times New Roman" w:eastAsia="仿宋_GB2312" w:hAnsi="Times New Roman" w:cs="Times New Roman" w:hint="eastAsia"/>
          <w:spacing w:val="11"/>
          <w:sz w:val="32"/>
          <w:szCs w:val="32"/>
        </w:rPr>
        <w:t>十五</w:t>
      </w:r>
      <w:r>
        <w:rPr>
          <w:rFonts w:ascii="Times New Roman" w:eastAsia="仿宋_GB2312" w:hAnsi="Times New Roman" w:cs="Times New Roman"/>
          <w:spacing w:val="11"/>
          <w:sz w:val="32"/>
          <w:szCs w:val="32"/>
        </w:rPr>
        <w:t>日内向人民法院起诉。逾期不申请复议或</w:t>
      </w:r>
      <w:r>
        <w:rPr>
          <w:rFonts w:ascii="Times New Roman" w:eastAsia="仿宋_GB2312" w:hAnsi="Times New Roman" w:cs="Times New Roman"/>
          <w:sz w:val="32"/>
          <w:szCs w:val="32"/>
        </w:rPr>
        <w:t>者不向人民法院起诉又不履行处罚决定的，由作出处罚决定的机关申请人民法院强制执行。</w:t>
      </w:r>
    </w:p>
    <w:p w14:paraId="20B1FC11"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城市建设行政主管部门的工作人员玩忽职守、滥用职权、徇私舞弊的，由其所在单位或者上级主管部门给予行政处分；</w:t>
      </w:r>
      <w:r>
        <w:rPr>
          <w:rFonts w:ascii="Times New Roman" w:eastAsia="仿宋_GB2312" w:hAnsi="Times New Roman" w:cs="Times New Roman"/>
          <w:sz w:val="32"/>
          <w:szCs w:val="32"/>
        </w:rPr>
        <w:t>构成犯罪的，由司法机关依法追究刑事责任。</w:t>
      </w:r>
    </w:p>
    <w:p w14:paraId="671FD6F7"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各省、自治区、直辖市人民政府可以根据本规定制定实施办法。</w:t>
      </w:r>
    </w:p>
    <w:p w14:paraId="4B86A3D0"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第二十三条　</w:t>
      </w:r>
      <w:r>
        <w:rPr>
          <w:rFonts w:ascii="Times New Roman" w:eastAsia="仿宋_GB2312" w:hAnsi="Times New Roman" w:cs="Times New Roman"/>
          <w:sz w:val="32"/>
          <w:szCs w:val="32"/>
        </w:rPr>
        <w:t>本规定由国务院城市建设行政主管部门负责解释。</w:t>
      </w:r>
    </w:p>
    <w:p w14:paraId="0747337D" w14:textId="77777777" w:rsidR="002568D1" w:rsidRDefault="002570C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本规定自</w:t>
      </w:r>
      <w:r>
        <w:rPr>
          <w:rFonts w:ascii="Times New Roman" w:eastAsia="仿宋_GB2312" w:hAnsi="Times New Roman" w:cs="Times New Roman"/>
          <w:sz w:val="32"/>
          <w:szCs w:val="32"/>
        </w:rPr>
        <w:t>1989</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p w14:paraId="518EFC7B" w14:textId="77777777" w:rsidR="002568D1" w:rsidRDefault="002568D1"/>
    <w:sectPr w:rsidR="002568D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B4A8B" w14:textId="77777777" w:rsidR="002570C2" w:rsidRDefault="002570C2">
      <w:r>
        <w:separator/>
      </w:r>
    </w:p>
  </w:endnote>
  <w:endnote w:type="continuationSeparator" w:id="0">
    <w:p w14:paraId="40233F06" w14:textId="77777777" w:rsidR="002570C2" w:rsidRDefault="0025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1F09A" w14:textId="77777777" w:rsidR="002568D1" w:rsidRDefault="002570C2">
    <w:pPr>
      <w:pStyle w:val="a5"/>
    </w:pPr>
    <w:r>
      <w:rPr>
        <w:noProof/>
      </w:rPr>
      <mc:AlternateContent>
        <mc:Choice Requires="wps">
          <w:drawing>
            <wp:anchor distT="0" distB="0" distL="114300" distR="114300" simplePos="0" relativeHeight="251658240" behindDoc="0" locked="0" layoutInCell="1" allowOverlap="1" wp14:anchorId="03AE8223" wp14:editId="58C335A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3ED552D" w14:textId="77777777" w:rsidR="002568D1" w:rsidRDefault="002570C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3AE8223"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53ED552D" w14:textId="77777777" w:rsidR="002568D1" w:rsidRDefault="002570C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22762" w14:textId="77777777" w:rsidR="002570C2" w:rsidRDefault="002570C2">
      <w:r>
        <w:separator/>
      </w:r>
    </w:p>
  </w:footnote>
  <w:footnote w:type="continuationSeparator" w:id="0">
    <w:p w14:paraId="00FF4D14" w14:textId="77777777" w:rsidR="002570C2" w:rsidRDefault="00257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568D1"/>
    <w:rsid w:val="002570C2"/>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8F7AF2"/>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34A1994"/>
    <w:rsid w:val="136642BB"/>
    <w:rsid w:val="142327B5"/>
    <w:rsid w:val="144025D6"/>
    <w:rsid w:val="14484CDF"/>
    <w:rsid w:val="155E2CB3"/>
    <w:rsid w:val="157124FD"/>
    <w:rsid w:val="15BC6471"/>
    <w:rsid w:val="174517D7"/>
    <w:rsid w:val="18413C16"/>
    <w:rsid w:val="198A0A54"/>
    <w:rsid w:val="19DB6C33"/>
    <w:rsid w:val="1BAF2172"/>
    <w:rsid w:val="1C9212F7"/>
    <w:rsid w:val="2096095A"/>
    <w:rsid w:val="20D86240"/>
    <w:rsid w:val="20DC2437"/>
    <w:rsid w:val="21CE0F2E"/>
    <w:rsid w:val="22DD4281"/>
    <w:rsid w:val="253620CC"/>
    <w:rsid w:val="25981EEB"/>
    <w:rsid w:val="25F044FF"/>
    <w:rsid w:val="26CA1A3A"/>
    <w:rsid w:val="27680A3B"/>
    <w:rsid w:val="27A96F19"/>
    <w:rsid w:val="2834230D"/>
    <w:rsid w:val="287A18EA"/>
    <w:rsid w:val="28F8723D"/>
    <w:rsid w:val="2B01664D"/>
    <w:rsid w:val="2C7458A4"/>
    <w:rsid w:val="2D44469F"/>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686C07"/>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544B0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354DD9"/>
    <w:rsid w:val="789F59B2"/>
    <w:rsid w:val="78ED2B64"/>
    <w:rsid w:val="7A224A32"/>
    <w:rsid w:val="7A4B0114"/>
    <w:rsid w:val="7A6D55E9"/>
    <w:rsid w:val="7ABD49CD"/>
    <w:rsid w:val="7BA85469"/>
    <w:rsid w:val="7C0E15E2"/>
    <w:rsid w:val="7C28250F"/>
    <w:rsid w:val="7C8A77E0"/>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2C893"/>
  <w15:docId w15:val="{BA07F213-1100-431D-9C6E-0C18CDA4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2020-11-24T12:30:00Z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