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中华人民共和国母婴保健法实施办法</w:t>
      </w:r>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hint="eastAsia" w:ascii="楷体_GB2312" w:hAnsi="楷体_GB2312" w:eastAsia="楷体_GB2312" w:cs="楷体_GB2312"/>
          <w:sz w:val="32"/>
          <w:szCs w:val="32"/>
        </w:rPr>
        <w:t>(</w:t>
      </w:r>
      <w:bookmarkStart w:id="0" w:name="_GoBack"/>
      <w:r>
        <w:rPr>
          <w:rFonts w:hint="eastAsia" w:ascii="楷体_GB2312" w:hAnsi="楷体_GB2312" w:eastAsia="楷体_GB2312" w:cs="楷体_GB2312"/>
          <w:spacing w:val="-6"/>
          <w:sz w:val="32"/>
          <w:szCs w:val="32"/>
        </w:rPr>
        <w:t>2001年6月20日中华人民共和国国务院令第308号公布　</w:t>
      </w:r>
      <w:bookmarkEnd w:id="0"/>
      <w:r>
        <w:rPr>
          <w:rFonts w:hint="eastAsia" w:ascii="楷体_GB2312" w:hAnsi="楷体_GB2312" w:eastAsia="楷体_GB2312" w:cs="楷体_GB2312"/>
          <w:sz w:val="32"/>
          <w:szCs w:val="32"/>
        </w:rPr>
        <w:t>根据2017年11月17日《国务院关于修改部分行政法规的决定》第一次修订  根据2022年3月29日《国务院关于修改和废止部分行政法规的决定》第二次修订</w:t>
      </w:r>
      <w:r>
        <w:rPr>
          <w:rFonts w:ascii="Times New Roman" w:hAnsi="Times New Roman" w:eastAsia="楷体_GB2312" w:cs="Times New Roman"/>
          <w:sz w:val="32"/>
          <w:szCs w:val="32"/>
        </w:rPr>
        <w:t>)</w:t>
      </w:r>
    </w:p>
    <w:p>
      <w:pPr>
        <w:pStyle w:val="3"/>
      </w:pPr>
      <w:r>
        <w:rPr>
          <w:rFonts w:ascii="Times New Roman" w:hAnsi="Times New Roman" w:cs="Times New Roman"/>
        </w:rPr>
        <w:t>第一章　总</w:t>
      </w:r>
      <w:r>
        <w:t>　　</w:t>
      </w:r>
      <w:r>
        <w:rPr>
          <w:rFonts w:ascii="Times New Roman" w:hAnsi="Times New Roman" w:cs="Times New Roman"/>
        </w:rPr>
        <w:t>则</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根</w:t>
      </w:r>
      <w:r>
        <w:rPr>
          <w:rFonts w:hint="eastAsia" w:ascii="仿宋_GB2312" w:hAnsi="仿宋_GB2312" w:eastAsia="仿宋_GB2312" w:cs="仿宋_GB2312"/>
          <w:sz w:val="32"/>
          <w:szCs w:val="32"/>
        </w:rPr>
        <w:t>据《中华人民共和国母婴保健法》(以下简称母婴保健法)，制定本办法。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在中华人民共和国境内从事母婴保健服务活动的机构及其人员应当遵守母婴保健法和本办法。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从事计划生育技术服务的机构开展计划生育技术服务活动，依照《计划生育技术服务管理条例》的规定执行。</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母婴保健</w:t>
      </w:r>
      <w:r>
        <w:rPr>
          <w:rFonts w:hint="eastAsia" w:ascii="仿宋_GB2312" w:hAnsi="仿宋_GB2312" w:eastAsia="仿宋_GB2312" w:cs="仿宋_GB2312"/>
          <w:sz w:val="32"/>
          <w:szCs w:val="32"/>
        </w:rPr>
        <w:t>技术服务主要包括下列事项：</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(一)有关母婴保健的科普宣传、教育和咨询；</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(二)婚前医学检查；</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(三)产前诊断和遗传病诊断；</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(四)助产技术；</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(五)实施医学上需要的节育手术；</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(六)新生儿疾病筛查；</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(七)有关生育、节育、不育的其他生殖保健服务。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公民享有母婴保健的知情选择权。国家保障公民获得适宜的母婴保健服务的权利。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母婴保健工作以保健为中心，以保障生殖健康为目的，实行保健和临床相结合，面向群体、面向基层和预防为主的方针。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各级人民政府应当将母婴保健工作纳入本级国民经济和社会发展计划，为母婴保健事业的发展提供必要的经济、技术和物质条件，并对少数民族地区、贫困地区的母婴保健事业给予特殊支持。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县级以上地方人民政府根据本地区的实际情况和需要，可以设立母婴保健事业发展专项资金。</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国务院卫生行政部门主管全国母婴保健工作，履行下列职责：</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(一)制定母婴保健法及本办法的配套规章和技术规范；</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(二)按照分级分类指导的原则，制定全国母婴保健工作发展规划和实施步骤；</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(三)组织推广母婴保健及其他生殖健康的适宜技术；</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(四)对母婴保健工作实施监督。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县级以上各级人民政府财政、公安、民政、教育、劳动保障、计划生育等部门应当在各自职责范围内，配合同级卫生行政部门做好母婴保健工作。</w:t>
      </w:r>
    </w:p>
    <w:p>
      <w:pPr>
        <w:pStyle w:val="3"/>
      </w:pPr>
      <w:r>
        <w:t>第二章　婚前保健</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母婴保健法</w:t>
      </w:r>
      <w:r>
        <w:rPr>
          <w:rFonts w:hint="eastAsia" w:ascii="仿宋_GB2312" w:hAnsi="仿宋_GB2312" w:eastAsia="仿宋_GB2312" w:cs="仿宋_GB2312"/>
          <w:sz w:val="32"/>
          <w:szCs w:val="32"/>
        </w:rPr>
        <w:t>第七条所称婚前卫生指导，包括下列事项：</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(一)有关性卫生的保健和教育；</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(二)新婚避孕知识及计划生育指导；</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(三)受孕前的准备、环境和疾病对后代影响等孕前保健知识；</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(四)遗传病的基本知识；</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(五)影响婚育的有关疾病的基本知识；</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(六)其他生殖健康知识。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医师进行婚前卫生咨询时，应当为服务对象提供科学的信息，对可能产生的后果进行指导，并提出适当的建议。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在实行婚前医学检查的地区，准备结婚的男女双方在办理结婚登记前，应当到医疗、保健机构进行婚前医学检查。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hint="eastAsia" w:ascii="Times New Roman" w:hAnsi="Times New Roman" w:eastAsia="仿宋_GB2312" w:cs="Times New Roman"/>
          <w:sz w:val="32"/>
          <w:szCs w:val="32"/>
        </w:rPr>
        <w:t>从事婚前医学检查的医疗、保健机构，由其所在地县级人民政府卫生行政部门进行审查；符合条件的，在其《医疗机构执业许可证》上注明</w:t>
      </w:r>
      <w:r>
        <w:rPr>
          <w:rFonts w:ascii="Times New Roman" w:hAnsi="Times New Roman" w:eastAsia="仿宋_GB2312" w:cs="Times New Roman"/>
          <w:sz w:val="32"/>
          <w:szCs w:val="32"/>
        </w:rPr>
        <w:t>。</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申请从事</w:t>
      </w:r>
      <w:r>
        <w:rPr>
          <w:rFonts w:hint="eastAsia" w:ascii="仿宋_GB2312" w:hAnsi="仿宋_GB2312" w:eastAsia="仿宋_GB2312" w:cs="仿宋_GB2312"/>
          <w:sz w:val="32"/>
          <w:szCs w:val="32"/>
        </w:rPr>
        <w:t>婚前医学检查的医疗、保健机构应当具备下列条件：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(一)分别设置专用的男、女婚前医学检查室，配备常规检查和专科检查设备；</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(二)设置婚前生殖健康宣传教育室；</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(三)具有符合条件的进行男、女婚前医学检查的执业医师。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婚前医学检查包括询问病史、体格及相关检查。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婚前医学检查应当遵守婚前保健工作规范并按照婚前医学检查项目进行。婚前保健工作规范和婚前医学检查项目由国务院卫生行政部门规定。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经婚前医学检查，医疗、保健机构应当向接受婚前医学检查的当事人出具婚前医学检查证明。</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婚前医学检查证明应当列</w:t>
      </w:r>
      <w:r>
        <w:rPr>
          <w:rFonts w:hint="eastAsia" w:ascii="仿宋_GB2312" w:hAnsi="仿宋_GB2312" w:eastAsia="仿宋_GB2312" w:cs="仿宋_GB2312"/>
          <w:sz w:val="32"/>
          <w:szCs w:val="32"/>
        </w:rPr>
        <w:t>明是否发现下列疾病：</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(一)在传染期内的指定传染病；</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(二)在发病期内的有关精神病；</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(三)不宜生育的严重遗传性疾病；</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(四)医学上认为不宜结婚的其他疾病。</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发现前款第(一)项、第(二)项、第(三)项疾病的，医师应当向</w:t>
      </w:r>
      <w:r>
        <w:rPr>
          <w:rFonts w:ascii="Times New Roman" w:hAnsi="Times New Roman" w:eastAsia="仿宋_GB2312" w:cs="Times New Roman"/>
          <w:sz w:val="32"/>
          <w:szCs w:val="32"/>
        </w:rPr>
        <w:t>当事人说明情况，提出预防、治</w:t>
      </w:r>
      <w:r>
        <w:rPr>
          <w:rFonts w:hint="eastAsia" w:ascii="仿宋_GB2312" w:hAnsi="仿宋_GB2312" w:eastAsia="仿宋_GB2312" w:cs="仿宋_GB2312"/>
          <w:sz w:val="32"/>
          <w:szCs w:val="32"/>
        </w:rPr>
        <w:t>疗以及采取相应医学措施的建议。当事人依据医生的医学意见，可以暂缓结婚，也可以自愿采用长效避孕措施或者结扎手术；医疗、保健机构应当为其治疗提供医学咨询和医疗服务。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经婚前医学检查，医疗、保健机构不能确诊的，应当转到设区的市级以上人民政府卫生行政部门指定的医疗、保健机构确诊。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在实行婚前医学检查的地区，婚姻登记机关在办理结婚登记时，应当查验婚前医学检查证明或者母婴保健法第十一条规定的医学鉴定证明。</w:t>
      </w:r>
    </w:p>
    <w:p>
      <w:pPr>
        <w:pStyle w:val="3"/>
      </w:pPr>
      <w:r>
        <w:t>第三章　孕产期保健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医疗、保健机构应当为育龄妇女提供有关避孕、节育、生育、不育和生殖健康的咨询和医疗保健服务。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医师发现或者怀疑育龄夫妻患有严重遗传性疾病的，应当提出医学意见；限于现有医疗技术水平难以确诊的，应当向当事人说明情况。育龄夫妻可以选择避孕、节育、不孕等相应的医学措施。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医疗、保健机构应当为孕产妇提供下列医疗保健服务：</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(一)为孕产妇建立保健手册(卡)，定期进行产前检查；</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(二)为孕产妇提供卫生、营养、心理等方面的医学指导与咨询；</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(三)对高危孕妇进行重点监护、随访和医疗保健服务；</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(四)为孕产妇提供安全分娩技术服务；</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(五)定期进行产后访视，指导产妇科学喂养婴儿；</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(六)提供避孕咨询指导和技术服务；</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(七)对产妇及其家属进行生殖健康教育和科学育儿知识教育；</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(八)其他孕产期保健服务。</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医疗、保健机构发现孕妇患有下列严重疾病或者接触物理、化学、生物等有毒、有害因素，可能危及孕妇生命安全</w:t>
      </w:r>
      <w:r>
        <w:rPr>
          <w:rFonts w:hint="eastAsia" w:ascii="仿宋_GB2312" w:hAnsi="仿宋_GB2312" w:eastAsia="仿宋_GB2312" w:cs="仿宋_GB2312"/>
          <w:sz w:val="32"/>
          <w:szCs w:val="32"/>
        </w:rPr>
        <w:t>或者可能严重影响孕妇健康和胎儿正常发育的，应当对孕妇进行医学指导和下列必要的医学检查：</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(一)严重的妊娠合并症或者并发症；</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(二)严重的精神性疾病；</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(三)国务院卫生行政部门规定的严重影响生育的其他疾病。</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孕妇有下列情形之一的，医师应当对其进行产前诊断：</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(一)羊水过多或者过少的；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(二)胎儿发育异常或者胎儿有可疑畸形的；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(三)孕早期接触过可能导致胎儿先天缺陷的物质的；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(四)有遗传病家族史或者曾经分娩过先天性严重缺陷婴儿的；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(五)初产妇年龄超过35周岁的。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母婴保健法第十八条规定的胎儿的严重遗传性疾病、胎儿的严重缺陷、孕妇患继续妊娠可能危及其生命健康和安全的严重疾病目录，由国务院卫生行政部门规定。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生育过严重遗传性疾病或者严重缺陷患儿的，再次妊娠前，夫妻双方应当按照国家有关规定到医疗、保健机构进行医学检查。医疗、保健机构应当向当事人介绍有关遗传性疾病的知识，给予咨询、指导。对诊断患有医学上认为不宜生育的严重遗传性疾病的，医师应当向当事人说明情况，并提出医学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严禁采用技术手段对胎儿进行性别鉴定。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对怀疑胎儿可能为伴性遗传病，需要进行性别鉴定的，由省、自治区、直辖市人民政府卫生行政部门指定的医疗、保健机构按照国务院卫生行政部门的规定进行鉴定。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国家提倡住院分娩。医疗、保健机构应当按照国务院卫生行政部门制定的技术操作规范，实施消毒接生和新生儿复苏，预防产伤及产后出血等产科并发症，降低孕产妇及围产儿发病率、死亡率。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没有条件住院分娩的，应当由经过培训、具备相应接生能力的家庭接生人员接生。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高危孕妇应当在医疗、保健机构住院分娩。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县级人民政府卫生行政部门应当加强对家庭接生人员的培训、技术指导和监督管理。</w:t>
      </w:r>
    </w:p>
    <w:p>
      <w:pPr>
        <w:pStyle w:val="3"/>
      </w:pPr>
      <w:r>
        <w:t>第四章　婴儿保健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医疗、保健机构应当按照国家有关规定开展新生儿先天性、遗传性代谢病筛查、诊断、治疗和监测。</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医疗</w:t>
      </w:r>
      <w:r>
        <w:rPr>
          <w:rFonts w:hint="eastAsia" w:ascii="仿宋_GB2312" w:hAnsi="仿宋_GB2312" w:eastAsia="仿宋_GB2312" w:cs="仿宋_GB2312"/>
          <w:sz w:val="32"/>
          <w:szCs w:val="32"/>
        </w:rPr>
        <w:t>、保健机构应当按照规定进行新生儿访视，建立儿童保健手册(卡)，定期对其进行健康检查，提供有关预防疾病、合理膳食、促进智力发育等科学知识，做好婴儿多发病、常见病防治等医疗保健服务。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医疗、保健机构应当按照规定的程序和项目对婴儿进行预防接种。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婴儿的监护人应当保证婴儿及时接受预防接种。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国家推行母乳喂养。医疗、保健机构应当为实施母乳喂养提供技术指导，为住院分娩的产妇提供必要的母乳喂养条件。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医疗、保健机构不得向孕产妇和婴儿家庭宣传、推荐母乳代用品。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母乳代用品产品包装标签应当在显著位置标明母乳喂养的优越性。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母乳代用品生产者、销售者不得向医疗、保健机构赠送产品样品或者以推销为目的有条件地提供设备、资金和资料。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妇女享有国家规定的产假。有不满1周岁婴儿的妇女，所在单位应当在劳动时间内为其安排一定的哺乳时间。</w:t>
      </w:r>
    </w:p>
    <w:p>
      <w:pPr>
        <w:pStyle w:val="3"/>
      </w:pPr>
      <w:r>
        <w:t>第五章　技术鉴定</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母婴保健医学技术鉴定委员会分为省、市、县三级。</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母婴保健医学技术鉴定委员会成员应当符合下列任职条件：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(一)县级母婴保健医学技术鉴定委员会成员应当具有主治医师以上专业技术职务；</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(二)设区的市级和省级母婴保健医学技术鉴定委员会成员应当具有副主任医师以上专业技术职务。</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当事人对婚前医学检查、遗传病诊断、产前诊断结果有异议，需要进一步确诊的，可以自接到检查或者诊断结果</w:t>
      </w:r>
      <w:r>
        <w:rPr>
          <w:rFonts w:hint="eastAsia" w:ascii="仿宋_GB2312" w:hAnsi="仿宋_GB2312" w:eastAsia="仿宋_GB2312" w:cs="仿宋_GB2312"/>
          <w:sz w:val="32"/>
          <w:szCs w:val="32"/>
        </w:rPr>
        <w:t>之日起15日内向所在地县级或者设区的市级母婴保健医学技术鉴定委员会提出书面鉴定申请。</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母婴保健医学技术鉴定委员会应当自接到鉴定申请之日起30日内作出医学技术鉴定意见，并及时通知当事人。</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当事人对鉴定意见有异议的，可以自接到鉴定意见通知书之日起15日内向上一级母婴保健医学技术鉴定委员会申</w:t>
      </w:r>
      <w:r>
        <w:rPr>
          <w:rFonts w:ascii="Times New Roman" w:hAnsi="Times New Roman" w:eastAsia="仿宋_GB2312" w:cs="Times New Roman"/>
          <w:sz w:val="32"/>
          <w:szCs w:val="32"/>
        </w:rPr>
        <w:t>请再鉴定。</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母婴保健医学技术</w:t>
      </w:r>
      <w:r>
        <w:rPr>
          <w:rFonts w:hint="eastAsia" w:ascii="仿宋_GB2312" w:hAnsi="仿宋_GB2312" w:eastAsia="仿宋_GB2312" w:cs="仿宋_GB2312"/>
          <w:sz w:val="32"/>
          <w:szCs w:val="32"/>
        </w:rPr>
        <w:t>鉴定委员会进行医学鉴定时须有5名以上相关专业医学技术鉴定委员会成员参加。</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鉴定委员会成员应当在鉴定结论上署名；不同意见应当如实记录。鉴定委员会根据鉴定结论向当事人出具鉴定意见书。</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母婴保健医学技术鉴定管理办法由国务院卫生行政部门制定。</w:t>
      </w:r>
    </w:p>
    <w:p>
      <w:pPr>
        <w:pStyle w:val="3"/>
      </w:pPr>
      <w:r>
        <w:t>第六章　监督管理</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县级以上地方</w:t>
      </w:r>
      <w:r>
        <w:rPr>
          <w:rFonts w:hint="eastAsia" w:ascii="仿宋_GB2312" w:hAnsi="仿宋_GB2312" w:eastAsia="仿宋_GB2312" w:cs="仿宋_GB2312"/>
          <w:sz w:val="32"/>
          <w:szCs w:val="32"/>
        </w:rPr>
        <w:t>人民政府卫生行政部门负责本行政区域内的母婴保健监督管理工作，履行下列监督管理职责：</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(一)依照母婴保健法和本办法以及国务院卫生行政部门规定的条件和技术标准，对从事母婴保健工作的机构和人员实施许可，并核发相应的许可证书；</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(二)对母婴保健法和本办法的执行情况进行监督检查；</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(三)对违反母婴保健法和本办法的行为，依法给予行政处罚；</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(四)负责母婴保健工作监督管理的其他事项。</w:t>
      </w:r>
    </w:p>
    <w:p>
      <w:pPr>
        <w:pStyle w:val="10"/>
        <w:ind w:firstLine="640" w:firstLineChars="200"/>
        <w:rPr>
          <w:rFonts w:hint="eastAsia" w:ascii="仿宋_GB2312" w:hAnsi="仿宋_GB2312" w:eastAsia="仿宋_GB2312" w:cs="仿宋_GB2312"/>
          <w:kern w:val="2"/>
          <w:sz w:val="32"/>
          <w:szCs w:val="32"/>
          <w:lang w:val="en-US" w:eastAsia="zh-CN" w:bidi="ar-SA"/>
        </w:rPr>
      </w:pPr>
      <w:r>
        <w:rPr>
          <w:rFonts w:ascii="Times New Roman" w:hAnsi="Times New Roman" w:eastAsia="黑体" w:cs="Times New Roman"/>
          <w:sz w:val="32"/>
          <w:szCs w:val="32"/>
        </w:rPr>
        <w:t>第三十五条　</w:t>
      </w:r>
      <w:r>
        <w:rPr>
          <w:rFonts w:hint="eastAsia" w:ascii="Times New Roman" w:hAnsi="Times New Roman" w:eastAsia="仿宋_GB2312" w:cs="Times New Roman"/>
          <w:sz w:val="32"/>
          <w:szCs w:val="32"/>
        </w:rPr>
        <w:t>从事遗传病诊断、产前诊断的医疗、保健机构和人员，须经省、自治区、直辖市人民政府卫生行政部门许可；但是，从事产前诊断中产前</w:t>
      </w:r>
      <w:r>
        <w:rPr>
          <w:rFonts w:hint="eastAsia" w:ascii="仿宋_GB2312" w:hAnsi="仿宋_GB2312" w:eastAsia="仿宋_GB2312" w:cs="仿宋_GB2312"/>
          <w:kern w:val="2"/>
          <w:sz w:val="32"/>
          <w:szCs w:val="32"/>
          <w:lang w:val="en-US" w:eastAsia="zh-CN" w:bidi="ar-SA"/>
        </w:rPr>
        <w:t>筛查的医疗、保健机构，须经县级人民政府卫生行政部门许可。</w:t>
      </w:r>
    </w:p>
    <w:p>
      <w:pPr>
        <w:pStyle w:val="10"/>
        <w:ind w:firstLine="640" w:firstLineChars="200"/>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从事婚前医学检查的医疗、保健机构和人员，须经县级人民政府卫生行政部门许可。</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kern w:val="2"/>
          <w:sz w:val="32"/>
          <w:szCs w:val="32"/>
          <w:lang w:val="en-US" w:eastAsia="zh-CN" w:bidi="ar-SA"/>
        </w:rPr>
        <w:t>从事助产技术服务、结扎手术和终止妊娠手术的医疗、保健机构和人员，须经县级人民政府卫生行政部门许可，并取</w:t>
      </w:r>
      <w:r>
        <w:rPr>
          <w:rFonts w:ascii="Times New Roman" w:hAnsi="Times New Roman" w:eastAsia="仿宋_GB2312" w:cs="Times New Roman"/>
          <w:sz w:val="32"/>
          <w:szCs w:val="32"/>
        </w:rPr>
        <w:t>得相应的合格证书。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卫生监督人员在执行职务时，应当出示证件。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卫生监督人员可以向医疗、保健机构了解情况，索取必要的资料，对母婴保健工作进行监督、检查，医疗、保健机构不得拒绝和隐瞒。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卫生监督人员对医疗、保健机构提供的技术资料负有保密的义务。</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医疗、保健机构应当根据其从事的业务，配备相应的人员和医疗设备</w:t>
      </w:r>
      <w:r>
        <w:rPr>
          <w:rFonts w:hint="eastAsia" w:ascii="仿宋_GB2312" w:hAnsi="仿宋_GB2312" w:eastAsia="仿宋_GB2312" w:cs="仿宋_GB2312"/>
          <w:sz w:val="32"/>
          <w:szCs w:val="32"/>
        </w:rPr>
        <w:t>，对从事母婴保健工作的人员加强岗位业务培训和职业道德教育，并定期对其进行检查、考核。</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医师和助产人员(包括家庭接生人员)应当严格遵守有关技术操作规范，认真填写各项记录，提高助产技术和服务质量。</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助产人员的管理，按照国务院卫生行政部门的规定执行。</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从事母婴保健工作的执业医师应当依照母婴保健法</w:t>
      </w:r>
      <w:r>
        <w:rPr>
          <w:rFonts w:ascii="Times New Roman" w:hAnsi="Times New Roman" w:eastAsia="仿宋_GB2312" w:cs="Times New Roman"/>
          <w:sz w:val="32"/>
          <w:szCs w:val="32"/>
        </w:rPr>
        <w:t>的规定取得相应的资格。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医疗、保健机构应当按照国务院卫生行政部门的规定，对托幼园、所卫生保健工作进行业务指导。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国家建立孕产妇死亡、婴儿死亡和新生儿出生缺陷监测、报告制度。</w:t>
      </w:r>
    </w:p>
    <w:p>
      <w:pPr>
        <w:pStyle w:val="3"/>
      </w:pPr>
      <w:r>
        <w:t>第七章　罚　　则</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医疗、保健机构或者人员未取得母婴保健技术许可，擅自从事婚前医学检查、遗传</w:t>
      </w:r>
      <w:r>
        <w:rPr>
          <w:rFonts w:hint="eastAsia" w:ascii="仿宋_GB2312" w:hAnsi="仿宋_GB2312" w:eastAsia="仿宋_GB2312" w:cs="仿宋_GB2312"/>
          <w:sz w:val="32"/>
          <w:szCs w:val="32"/>
        </w:rPr>
        <w:t>病诊断、产前诊断、终止妊娠手术和医学技术鉴定或者出具有关医学证明的，由卫生行政部门给予警告，责令停止违法行为，没收违法所得；违法所得5000元以上的，并处违法所得3倍以上5倍以下的罚款；没有违法所得或者违法所得不足5000元的，并处5000元以上2万元以下的罚款。</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从事母婴</w:t>
      </w:r>
      <w:r>
        <w:rPr>
          <w:rFonts w:hint="eastAsia" w:ascii="仿宋_GB2312" w:hAnsi="仿宋_GB2312" w:eastAsia="仿宋_GB2312" w:cs="仿宋_GB2312"/>
          <w:sz w:val="32"/>
          <w:szCs w:val="32"/>
        </w:rPr>
        <w:t>保健技术服务的人员出具虚假医学证明文件的，依法给予行政处分；有下列情形之一的，由原发证部门撤销相应的母婴保健技术执业资格或者医师执业证书：</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(一)因延误诊治，造成严重后果的；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(二)给当事人身心健康造成严重后果的；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(三)造成其他严重后果的。</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违反本办法规定进行胎儿性别鉴定的，由卫生行政部门给予警告，责令停止违法</w:t>
      </w:r>
      <w:r>
        <w:rPr>
          <w:rFonts w:hint="eastAsia" w:ascii="仿宋_GB2312" w:hAnsi="仿宋_GB2312" w:eastAsia="仿宋_GB2312" w:cs="仿宋_GB2312"/>
          <w:sz w:val="32"/>
          <w:szCs w:val="32"/>
        </w:rPr>
        <w:t>行为；对医疗、保健机构直接负责的主管人员和其他直接责任人员，依法给予行政处分。进行胎儿性别鉴定两次以上的或者以营利为目的进行胎儿性别鉴定的，并由原发证机关撤销相应的母婴保健技术执业资格或者医师执业证书。</w:t>
      </w:r>
    </w:p>
    <w:p>
      <w:pPr>
        <w:pStyle w:val="3"/>
      </w:pPr>
      <w:r>
        <w:t>第八章　附　　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婚前医学检查证明的格式由国务院卫生行政部门规定。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母婴保健法及本办法所称的医疗、保健机构，是指依照《医疗机构管理条例》取得卫生行政部门医疗机构执业许可的各级各类医疗机构。</w:t>
      </w:r>
    </w:p>
    <w:p>
      <w:pPr>
        <w:pStyle w:val="10"/>
        <w:ind w:firstLine="640" w:firstLineChars="200"/>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本办法自公布之日起施行。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B5692"/>
    <w:rsid w:val="001D2E61"/>
    <w:rsid w:val="001E555F"/>
    <w:rsid w:val="00290D32"/>
    <w:rsid w:val="002C025D"/>
    <w:rsid w:val="002C3000"/>
    <w:rsid w:val="002E13E2"/>
    <w:rsid w:val="002E1578"/>
    <w:rsid w:val="002F6361"/>
    <w:rsid w:val="003004CE"/>
    <w:rsid w:val="00335506"/>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01102"/>
    <w:rsid w:val="00723BD5"/>
    <w:rsid w:val="00730ACC"/>
    <w:rsid w:val="00735841"/>
    <w:rsid w:val="00754610"/>
    <w:rsid w:val="00774219"/>
    <w:rsid w:val="0077596B"/>
    <w:rsid w:val="007953C3"/>
    <w:rsid w:val="007A2BEC"/>
    <w:rsid w:val="007C74E7"/>
    <w:rsid w:val="007E54CD"/>
    <w:rsid w:val="00826E44"/>
    <w:rsid w:val="00830518"/>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95E2A"/>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01FE0"/>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4206EC6"/>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FE10B9"/>
    <w:rsid w:val="107A4DEE"/>
    <w:rsid w:val="10A47D69"/>
    <w:rsid w:val="11366EEC"/>
    <w:rsid w:val="11A80578"/>
    <w:rsid w:val="12146020"/>
    <w:rsid w:val="12C10B30"/>
    <w:rsid w:val="134A1994"/>
    <w:rsid w:val="136642BB"/>
    <w:rsid w:val="142327B5"/>
    <w:rsid w:val="14484CDF"/>
    <w:rsid w:val="155E2CB3"/>
    <w:rsid w:val="157124FD"/>
    <w:rsid w:val="15B17054"/>
    <w:rsid w:val="16173655"/>
    <w:rsid w:val="16E85B46"/>
    <w:rsid w:val="174517D7"/>
    <w:rsid w:val="18413C16"/>
    <w:rsid w:val="18971E78"/>
    <w:rsid w:val="1957540A"/>
    <w:rsid w:val="198A0A54"/>
    <w:rsid w:val="19DB6C33"/>
    <w:rsid w:val="1ABC528A"/>
    <w:rsid w:val="1BAF2172"/>
    <w:rsid w:val="1BC71210"/>
    <w:rsid w:val="1C9212F7"/>
    <w:rsid w:val="1D721751"/>
    <w:rsid w:val="1D752039"/>
    <w:rsid w:val="1DA042EC"/>
    <w:rsid w:val="1DA140F8"/>
    <w:rsid w:val="1FE16FBA"/>
    <w:rsid w:val="206535C8"/>
    <w:rsid w:val="2096095A"/>
    <w:rsid w:val="20D86240"/>
    <w:rsid w:val="21CE0F2E"/>
    <w:rsid w:val="221D0BEA"/>
    <w:rsid w:val="22DD4281"/>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D644059"/>
    <w:rsid w:val="2DBE0D65"/>
    <w:rsid w:val="2DDE6B1E"/>
    <w:rsid w:val="2E1B43B4"/>
    <w:rsid w:val="2E5D5F12"/>
    <w:rsid w:val="2ED32E01"/>
    <w:rsid w:val="2FB37B4F"/>
    <w:rsid w:val="2FF20DF5"/>
    <w:rsid w:val="318138A8"/>
    <w:rsid w:val="31F05688"/>
    <w:rsid w:val="320E2B0A"/>
    <w:rsid w:val="32252208"/>
    <w:rsid w:val="3242780E"/>
    <w:rsid w:val="330A1619"/>
    <w:rsid w:val="330D4027"/>
    <w:rsid w:val="3330356C"/>
    <w:rsid w:val="33CF5811"/>
    <w:rsid w:val="34031BBE"/>
    <w:rsid w:val="349C60FB"/>
    <w:rsid w:val="35095248"/>
    <w:rsid w:val="355560D1"/>
    <w:rsid w:val="386D21AD"/>
    <w:rsid w:val="387E7233"/>
    <w:rsid w:val="39C71577"/>
    <w:rsid w:val="3A7915E5"/>
    <w:rsid w:val="3B1265AF"/>
    <w:rsid w:val="3B596812"/>
    <w:rsid w:val="3BA0652C"/>
    <w:rsid w:val="3C372D12"/>
    <w:rsid w:val="3CA23060"/>
    <w:rsid w:val="3CAF6F9F"/>
    <w:rsid w:val="3CDF39C7"/>
    <w:rsid w:val="3D4456A2"/>
    <w:rsid w:val="3D762392"/>
    <w:rsid w:val="3DFC6899"/>
    <w:rsid w:val="3E3675FB"/>
    <w:rsid w:val="3EEC1919"/>
    <w:rsid w:val="3F800236"/>
    <w:rsid w:val="3F8C783C"/>
    <w:rsid w:val="3FC97A54"/>
    <w:rsid w:val="40226A0B"/>
    <w:rsid w:val="402A1E33"/>
    <w:rsid w:val="40C1378F"/>
    <w:rsid w:val="40DC5AC3"/>
    <w:rsid w:val="40F66CF8"/>
    <w:rsid w:val="40FE47B4"/>
    <w:rsid w:val="41B857FD"/>
    <w:rsid w:val="429465D8"/>
    <w:rsid w:val="431B4937"/>
    <w:rsid w:val="434336CE"/>
    <w:rsid w:val="4361706F"/>
    <w:rsid w:val="43CA1521"/>
    <w:rsid w:val="43D46F84"/>
    <w:rsid w:val="444B0E8A"/>
    <w:rsid w:val="454D6241"/>
    <w:rsid w:val="45866A2B"/>
    <w:rsid w:val="46533201"/>
    <w:rsid w:val="46D80A88"/>
    <w:rsid w:val="46EE0064"/>
    <w:rsid w:val="47793996"/>
    <w:rsid w:val="47A250A3"/>
    <w:rsid w:val="48AC4D69"/>
    <w:rsid w:val="494B3B16"/>
    <w:rsid w:val="49C224BB"/>
    <w:rsid w:val="4A4F5FBC"/>
    <w:rsid w:val="4A732A37"/>
    <w:rsid w:val="4B2E2D61"/>
    <w:rsid w:val="4C062CA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2517C4"/>
    <w:rsid w:val="649C0E8F"/>
    <w:rsid w:val="65152017"/>
    <w:rsid w:val="65532802"/>
    <w:rsid w:val="65BF6566"/>
    <w:rsid w:val="665D25F4"/>
    <w:rsid w:val="66E50FB1"/>
    <w:rsid w:val="674048E2"/>
    <w:rsid w:val="67D71794"/>
    <w:rsid w:val="68426F20"/>
    <w:rsid w:val="68715924"/>
    <w:rsid w:val="6A403C00"/>
    <w:rsid w:val="6A49703B"/>
    <w:rsid w:val="6B4C7D1B"/>
    <w:rsid w:val="6C267EB4"/>
    <w:rsid w:val="6CD653AF"/>
    <w:rsid w:val="6D1363D3"/>
    <w:rsid w:val="6D15429C"/>
    <w:rsid w:val="6D614426"/>
    <w:rsid w:val="6DA577A5"/>
    <w:rsid w:val="6DB8609B"/>
    <w:rsid w:val="6DB87D30"/>
    <w:rsid w:val="6E804287"/>
    <w:rsid w:val="6EB30283"/>
    <w:rsid w:val="6F605325"/>
    <w:rsid w:val="6FA94D5D"/>
    <w:rsid w:val="6FAA67D8"/>
    <w:rsid w:val="705926FD"/>
    <w:rsid w:val="70817970"/>
    <w:rsid w:val="712B5699"/>
    <w:rsid w:val="72A30A90"/>
    <w:rsid w:val="72AE5309"/>
    <w:rsid w:val="72C042BE"/>
    <w:rsid w:val="735A6A5C"/>
    <w:rsid w:val="746D1278"/>
    <w:rsid w:val="762C29D0"/>
    <w:rsid w:val="76975133"/>
    <w:rsid w:val="769B60FD"/>
    <w:rsid w:val="76C10F77"/>
    <w:rsid w:val="77D8678E"/>
    <w:rsid w:val="78061DFD"/>
    <w:rsid w:val="7814798C"/>
    <w:rsid w:val="7819740D"/>
    <w:rsid w:val="789F59B2"/>
    <w:rsid w:val="78E10B53"/>
    <w:rsid w:val="78ED2B64"/>
    <w:rsid w:val="79A265A2"/>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uiPriority w:val="99"/>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字符"/>
    <w:basedOn w:val="17"/>
    <w:link w:val="10"/>
    <w:qFormat/>
    <w:uiPriority w:val="99"/>
    <w:rPr>
      <w:rFonts w:ascii="宋体" w:hAnsi="Courier New" w:eastAsia="宋体" w:cs="Courier New"/>
      <w:szCs w:val="21"/>
    </w:rPr>
  </w:style>
  <w:style w:type="character" w:customStyle="1" w:styleId="20">
    <w:name w:val="页眉 字符"/>
    <w:basedOn w:val="17"/>
    <w:link w:val="12"/>
    <w:semiHidden/>
    <w:qFormat/>
    <w:uiPriority w:val="99"/>
    <w:rPr>
      <w:sz w:val="18"/>
      <w:szCs w:val="18"/>
    </w:rPr>
  </w:style>
  <w:style w:type="character" w:customStyle="1" w:styleId="21">
    <w:name w:val="页脚 字符"/>
    <w:basedOn w:val="17"/>
    <w:link w:val="11"/>
    <w:semiHidden/>
    <w:qFormat/>
    <w:uiPriority w:val="99"/>
    <w:rPr>
      <w:sz w:val="18"/>
      <w:szCs w:val="18"/>
    </w:rPr>
  </w:style>
  <w:style w:type="character" w:customStyle="1" w:styleId="22">
    <w:name w:val="标题 1 字符"/>
    <w:basedOn w:val="17"/>
    <w:link w:val="2"/>
    <w:qFormat/>
    <w:uiPriority w:val="9"/>
    <w:rPr>
      <w:rFonts w:eastAsia="黑体" w:asciiTheme="minorHAnsi" w:hAnsiTheme="minorHAnsi"/>
      <w:bCs/>
      <w:kern w:val="44"/>
      <w:sz w:val="32"/>
      <w:szCs w:val="44"/>
    </w:rPr>
  </w:style>
  <w:style w:type="character" w:customStyle="1" w:styleId="23">
    <w:name w:val="标题 2 字符"/>
    <w:basedOn w:val="17"/>
    <w:link w:val="3"/>
    <w:semiHidden/>
    <w:qFormat/>
    <w:uiPriority w:val="9"/>
    <w:rPr>
      <w:rFonts w:eastAsia="方正黑体_GBK" w:asciiTheme="majorHAnsi" w:hAnsiTheme="majorHAnsi" w:cstheme="majorBidi"/>
      <w:bCs/>
      <w:sz w:val="32"/>
      <w:szCs w:val="32"/>
    </w:rPr>
  </w:style>
  <w:style w:type="character" w:customStyle="1" w:styleId="24">
    <w:name w:val="标题 3 字符"/>
    <w:basedOn w:val="17"/>
    <w:link w:val="4"/>
    <w:semiHidden/>
    <w:qFormat/>
    <w:uiPriority w:val="9"/>
    <w:rPr>
      <w:rFonts w:eastAsia="方正楷体_GBK" w:asciiTheme="minorHAnsi" w:hAnsiTheme="minorHAnsi"/>
      <w:b/>
      <w:bCs/>
      <w:sz w:val="32"/>
      <w:szCs w:val="32"/>
    </w:rPr>
  </w:style>
  <w:style w:type="character" w:customStyle="1" w:styleId="25">
    <w:name w:val="标题 4 字符"/>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字符"/>
    <w:basedOn w:val="17"/>
    <w:link w:val="6"/>
    <w:semiHidden/>
    <w:qFormat/>
    <w:uiPriority w:val="9"/>
    <w:rPr>
      <w:b/>
      <w:bCs/>
      <w:sz w:val="28"/>
      <w:szCs w:val="28"/>
    </w:rPr>
  </w:style>
  <w:style w:type="character" w:customStyle="1" w:styleId="27">
    <w:name w:val="标题 6 字符"/>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字符"/>
    <w:basedOn w:val="17"/>
    <w:link w:val="8"/>
    <w:semiHidden/>
    <w:qFormat/>
    <w:uiPriority w:val="9"/>
    <w:rPr>
      <w:b/>
      <w:bCs/>
      <w:sz w:val="24"/>
      <w:szCs w:val="24"/>
    </w:rPr>
  </w:style>
  <w:style w:type="character" w:customStyle="1" w:styleId="29">
    <w:name w:val="标题 8 字符"/>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Template>
  <Pages>13</Pages>
  <Words>5004</Words>
  <Characters>5033</Characters>
  <Lines>37</Lines>
  <Paragraphs>10</Paragraphs>
  <TotalTime>0</TotalTime>
  <ScaleCrop>false</ScaleCrop>
  <LinksUpToDate>false</LinksUpToDate>
  <CharactersWithSpaces>5095</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2022-04-19T06:28:43Z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1342BCAEF36A44DFAB69652DABDAA5FE</vt:lpwstr>
  </property>
</Properties>
</file>