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中华人民共和国水文条例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(2007年4月25日中华人民共和国国务院令第496号公布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w:t>
      </w:r>
      <w:r>
        <w:rPr>
          <w:rFonts w:hint="eastAsia" w:hAnsi="宋体" w:cs="宋体"/>
          <w:sz w:val="32"/>
          <w:szCs w:val="32"/>
        </w:rPr>
        <w:t>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为了加强水文管理，规范水文工作，为开发、利用、节约、保护水资源和防灾减灾服务，促进经济社会的可持续发展，根据《中华人民共和国水法》和《中华人民共和国防洪法》，制定本条例。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在中华人民共和国领域内从事水文站网规划与建设，水文监测与预报，水资源调查评价，水文监测资料汇交、保管与使用，水文设施与水文监测环境的保护等活动，应当遵守本条例。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水文事业是国民经济和社会发展的基础性公益事业。县级以上人民政府应当将水文事业纳入本级国民经济和社会发展规划，所需经费纳入本级财政预算，保障水文监测工作的正常开展，充分发挥水文工作在政府决策、经济社会发展和社会公众服务中的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县级以上人民政府应当关心和支持少数民族地区、边远贫困地区和艰苦地区水文基础设施的建设和运行。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国务院水行政主管部门主管全国的水文工作，其直属的水文机构具体负责组织实施管理工作。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国务院水行政主管部门在国家确定的重要江河、湖泊设立的流域管理机构(以下简称流域管理机构)，在所管辖范围内按照法律、本条例规定和国务院水行政主管部门规定的权限，组织实施管理有关水文工作。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省、自治区、直辖市人民政府水行政主管部门主管本行政区域内的水文工作，其直属的水文机构接受上级业务主管部门的指导，并在当地人民政府的领导下具体负责组织实施管理工作。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国家鼓励和支持水文科学技术的研究、推广和应用，保护水文科技成果，培养水文科技人才，加强水文国际合作与交流。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县级以上人民政府对在水文工作中做出突出贡献的单位和个人，按照国家有关规定给予表彰和奖励。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组织或者个人在中华人民共和国领域内从事水文活动的，应当经国务院水行政主管部门会同有关部门批准，并遵守中华人民共和国的法律、法规；在中华人民共和国与邻国交界的跨界河流上从事水文活动的，应当遵守中华人民共和国与相关国家缔结的有关条约、协定。</w:t>
      </w:r>
    </w:p>
    <w:p>
      <w:pPr>
        <w:pStyle w:val="3"/>
        <w:bidi w:val="0"/>
        <w:rPr>
          <w:szCs w:val="32"/>
        </w:rPr>
      </w:pPr>
      <w:r>
        <w:t>第二章　规划与建设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国务院水行政主管部门负责编制全国水文事业发展规划，在征求国务院有关部门意见后，报国务院或者其授权的部门批准实施。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流域管理机构根据全国水文事业发展规划编制流域水文事业发展规划，报国务院水行政主管部门批准实施。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省、自治区、直辖市人民政府水行政主管部门根据全国水文事业发展规划和流域水文事业发展规划编制本行政区域的水文事业发展规划，报本级人民政府批准实施，并报国务院水行政主管部门备案。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水文事业发展规划是开展水文工作的依据。修改水文事业发展规划，应当按照规划编制程序经原批准机关批准。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水文事业发展规划主要包括水文事业发展目标、水文站网建设、水文监测和情报预报设施建设、水文信息网络和业务系统建设以及保障措施等内容。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国家对水文站网建设实行统一规划。水文站网建设应当坚持流域与区域相结合、区域服从流域，布局合理、防止重复，兼顾当前和长远需要的原则。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水文站网的建设应当依据水文事业发展规划，按照国家固定资产投资项目建设程序组织实施。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为国家水利、水电等基础工程设施提供服务的水文站网的建设和运行管理经费，应当分别纳入工程建设概算和运行管理经费。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本条例所称水文站网，是指在流域或者区域内，由适当数量的各类水文测站构成的水文监测资料收集系统。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国家对水文测站实行分类分级管理。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水文测站分为国家基本水文测站和专用水文测站。国家基本水文测站分为国家重要水文测站和一般水文测站。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重要水文测站和流域管理机构管理的一般水文测站的设立和调整，由省、自治区、直辖市人民政府水行政主管部门或者流域管理机构报国务院水行政主管部门直属水文机构批准。其他一般水文测站的设立和调整，由省、自治区、直辖市人民政府水行政主管部门批准，报国务院水行政主管部门直属水文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专用水文测站，不得与国家基本水文测站重复；在国家基本水文测站覆盖的区域，确需设立专用水文测站的，应当按照管理权限报流域管理机构或者省、自治区、直辖市人民政府水行政主管部门直属水文机构批准。其中，因交通、航运、环境保护等需要设立专用水文测站的，有关主管部门批准前，应当征求流域管理机构或者省、自治区、直辖市人民政府水行政主管部门直属水文机构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撤销专用水文测站，应当报原批准机关批准。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专用水文测站和从事水文活动的其他单位，应当接受水行政主管部门直属水文机构的行业管理。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省、自治区、直辖市人民政府水行政主管部门管理的水文测站，对流域水资源管理和防灾减灾有重大作用的，业务上应当同时接受流域管理机构的指导和监督。</w:t>
      </w:r>
    </w:p>
    <w:p>
      <w:pPr>
        <w:pStyle w:val="3"/>
        <w:bidi w:val="0"/>
        <w:rPr>
          <w:szCs w:val="32"/>
        </w:rPr>
      </w:pPr>
      <w:r>
        <w:t>第三章　监测与预报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从事水文监测活动应当遵守国家水文技术标准、规范和规程，保证监测质量。未经批准，不得中止水文监测。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国家水文技术标准、规范和规程，由国务院水行政主管部门会同国务院标准化行政主管部门制定。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水文监测所使用的专用技术装备应当符合国务院水行政主管部门规定的技术要求。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水文监测所使用的计量器具应当依法经检定合格。水文监测所使用的计量器具的检定规程，由国务院水行政主管部门制定，报国务院计量行政主管部门备案。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水文机构应当加强水资源的动态监测工作，发现被监测水体的水量、水质等情况发生变化可能危及用水安全的，应当加强跟踪监测和调查，及时将监测、调查情况和处理建议报所在地人民政府及其水行政主管部门；发现水质变化，可能发生突发性水体污染事件的，应当及时将监测、调查情况报所在地人民政府水行政主管部门和环境保护行政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有关单位和个人对水资源动态监测工作应当予以配合。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承担水文情报预报任务的水文测站，应当及时、准确地向县级以上人民政府防汛抗旱指挥机构和水行政主管部门报告有关水文情报预报。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水文情报预报由县级以上人民政府防汛抗旱指挥机构、水行政主管部门或者水文机构按照规定权限向社会统一发布。禁止任何其他单位和个人向社会发布水文情报预报。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广播、电视、报纸和网络等新闻媒体，应当按照国家有关规定和防汛抗旱要求，及时播发、刊登水文情报预报，并标明发布机构和发布时间。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信息产业部门应当根据水文工作的需要，按照国家有关规定提供通信保障。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县级以上人民政府水行政主管部门应当根据经济社会的发展要求，会同有关部门组织相关单位开展水资源调查评价工作。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从事水文、水资源调查评价的单位，应当具备下列条件，并取得国务院水行政主管部门或者省、自治区、直辖市人民政府水行政主管部门颁发的资质证书：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(一)具有法人资格和固定的工作场所；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(二)具有与所从事水文活动相适应并经考试合格的专业技术人员；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(三)具有与所从事水文活动相适应的专业技术装备；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(四)具有健全的管理制度；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(五)符合国务院水行政主管部门规定的其他条件。</w:t>
      </w:r>
    </w:p>
    <w:p>
      <w:pPr>
        <w:pStyle w:val="3"/>
        <w:bidi w:val="0"/>
        <w:rPr>
          <w:szCs w:val="32"/>
        </w:rPr>
      </w:pPr>
      <w:r>
        <w:t>第四章　资料的汇交保管与使用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国家对水文监测资料实行统一汇交制度。从事地表水和地下水资源、水量、水质监测的单位以及其他从事水文监测的单位，应当按照资料管理权限向有关水文机构汇交监测资料。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地下水源地、超采区的地下水资源监测资料和重要引(退)水口、在江河和湖泊设置的排污口、重要断面的监测资料，由从事水文监测的单位向流域管理机构或者省、自治区、直辖市人民政府水行政主管部门直属水文机构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取用水工程的取(退)水、蓄(泄)水资料，由取用水工程管理单位向工程所在地水文机构汇交。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建立水文监测资料共享制度。水文机构应当妥善存储和保管水文监测资料，根据国民经济建设和社会发展需要对水文监测资料进行加工整理形成水文监测成果，予以刊印。国务院水行政主管部门直属的水文机构应当建立国家水文数据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基本水文监测资料应当依法公开，水文监测资料属于国家秘密的，对其密级的确定、变更、解密以及对资料的使用、管理，依照国家有关规定执行。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编制重要规划、进行重点项目建设和水资源管理等使用的水文监测资料应当完整、可靠、一致。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国家机关决策和防灾减灾、国防建设、公共安全、环境保护等公益事业需要使用水文监测资料和成果的，应当无偿提供。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除前款规定的情形外，需要使用水文监测资料和成果的，按照国家有关规定收取费用，并实行收支两条线管理。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因经营性活动需要提供水文专项咨询服务的，当事人双方应当签订有偿服务合同，明确双方的权利和义务。</w:t>
      </w:r>
    </w:p>
    <w:p>
      <w:pPr>
        <w:pStyle w:val="3"/>
        <w:bidi w:val="0"/>
        <w:rPr>
          <w:szCs w:val="32"/>
        </w:rPr>
      </w:pPr>
      <w:r>
        <w:t>第五章　设施与监测环境保护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国家依法保护水文监测设施。任何单位和个人不得侵占、毁坏、擅自移动或者擅自使用水文监测设施，不得干扰水文监测。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国家基本水文测站因不可抗力遭受破坏的，所在地人民政府和有关水行政主管部门应当采取措施，组织力量修复，确保其正常运行。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未经批准，任何单位和个人不得迁移国家基本水文测站；因重大工程建设确需迁移的，建设单位应当在建设项目立项前，报请对该站有管理权限的水行政主管部门批准，所需费用由建设单位承担。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国家依法保护水文监测环境。县级人民政府应当按照国务院水行政主管部门确定的标准划定水文监测环境保护范围，并在保护范围边界设立地面标志。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任何单位和个人都有保护水文监测环境的义务。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pacing w:val="-11"/>
          <w:sz w:val="32"/>
          <w:szCs w:val="32"/>
        </w:rPr>
        <w:t>禁止在水文监测环境保护范围内从事下列活动：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(一)种植高秆作物、堆放物料、修建建筑物、停靠船只；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(二)取土、挖砂、采石、淘金、爆破和倾倒废弃物；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(三)在监测断面取水、排污或者在过河设备、气</w:t>
      </w:r>
      <w:bookmarkStart w:id="0" w:name="_GoBack"/>
      <w:bookmarkEnd w:id="0"/>
      <w:r>
        <w:rPr>
          <w:rFonts w:hint="eastAsia" w:ascii="仿宋_GB2312" w:hAnsi="仿宋_GB2312" w:eastAsia="仿宋_GB2312" w:cs="仿宋_GB2312"/>
          <w:sz w:val="32"/>
          <w:szCs w:val="32"/>
        </w:rPr>
        <w:t>象观测场、监测断面的上空架设线路；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(四)其他对水文监测有影响的活动。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在国家基本水文测站上下游建设影响水文监测的工程，建设单位应当采取相应措施，在征得对该站有管理权限的水行政主管部门同意后方可建设。因工程建设致使水文测站改建的，所需费用由建设单位承担。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在通航河道中或者桥上进行水文监测作业时，应当依法设置警示标志。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水文机构依法取得的无线电频率使用权和通信线路使用权受国家保护。任何单位和个人不得挤占、干扰水文机构使用的无线电频率，不得破坏水文机构使用的通信线路。</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违反本条例规定，有下列行为之一的，对直接负责的主管人员和其他直接责任人员依法给予处分；构成犯罪的，依法追究刑事责任：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(一)错报水文监测信息造成严重经济损失的；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(二)汛期漏报、迟报水文监测信息的；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(三)擅自发布水文情报预报的；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(四)丢失、毁坏、伪造水文监测资料的；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(五)擅自转让、转借水文监测资料的；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(六)不依法履行职责的其他行为。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未经批准擅自设立水文测站或者未经同意擅自在国家基本水文测站上下游建设影响水文监测的工程的，责令停止违法行为，限期采取补救措施，补办有关手续；无法采取补救措施、逾期不补办或者补办未被批准的，责令限期拆除违法建筑物；逾期不拆除的，强行拆除，所需费用由违法单位或者个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违反本条例规定，未取得水文、水资源调查评价资质证书从事水文活动的，责令停止违法行为，没收违法所得，并处5万元以上10万元以下罚款。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违反本条例规定，超出水文、水资源调查评价资质证书确定的范围从事水文活动的，责令停止违法行为，没收违法所得，并处3万元以上5万元以下罚款；情节严重的，由发证机关吊销资质证书。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违反本条例规定，使用不符合规定的水文专用技术装备和水文计量器具的，责令限期改正。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违反本条例规定，有下列行为之一的，责令停止违法行为，处1万元以上5万元以下罚款：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(一)拒不汇交水文监测资料的；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(二)非法向社会传播水文情报预报，造成严重经济损失和不良影响的。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规定，侵占、毁坏水文监测设施或者未经批准擅自移动、擅自使用水文监测设施的，责令停止违法行为，限期恢复原状或者采取其他补救措施，可以处5万元以下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从事本条例第三十二条所列活动的，责令停止违法行为，限期恢复原状或者采取其他补救措施，可以处1万元以下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本条例规定的行政处罚，由县级以上人民政府水行政主管部门或者流域管理机构依据职权决定。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本条例中下列用语的含义是：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水文监测，是指通过水文站网对江河、湖泊、渠道、水库的水位、流量、水质、水温、泥沙、冰情、水下地形和地下水资源，以及降水量、蒸发量、墒情、风暴潮等实施监测，并进行分析和计算的活动。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水文测站，是指为收集水文监测资料在江河、湖泊、渠道、水库和流域内设立的各种水文观测场所的总称。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国家基本水文测站，是指为公益目的统一规划设立的对江河、湖泊、渠道、水库和流域基本水文要素进行长期连续观测的水文测站。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国家重要水文测站，是指对防灾减灾或者对流域和区域水资源管理等有重要作用的基本水文测站。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专用水文测站，是指为特定目的设立的水文测站。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基本水文监测资料，是指由国家基本水文测站监测并经过整编后的资料。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水文情报预报，是指对江河、湖泊、渠道、水库和其他水体的水文要素实时情况的报告和未来情况的预告。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水文监测设施，是指水文站房、水文缆道、测船、测船码头、监测场地、监测井、监测标志、专用道路、仪器设备、水文通信设施以及附属设施等。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水文监测环境，是指为确保监测到准确水文信息所必需的区域构成的立体空间。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中国人民解放军的水文工作，按照中央军事委员会的规定执行。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本条例自2007年6月1日起施行。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5474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EA380D"/>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9E1258"/>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5456</Words>
  <Characters>5471</Characters>
  <Lines>69</Lines>
  <Paragraphs>19</Paragraphs>
  <TotalTime>1</TotalTime>
  <ScaleCrop>false</ScaleCrop>
  <LinksUpToDate>false</LinksUpToDate>
  <CharactersWithSpaces>5530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2022-06-03T11:21:21Z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