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601C15" w14:textId="77777777" w:rsidR="00636609" w:rsidRDefault="008A219F">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食盐加碘消除碘缺乏危害管理条例</w:t>
      </w:r>
    </w:p>
    <w:p w14:paraId="31224997" w14:textId="77777777" w:rsidR="00636609" w:rsidRDefault="00636609">
      <w:pPr>
        <w:pStyle w:val="a5"/>
        <w:ind w:firstLineChars="200" w:firstLine="640"/>
        <w:jc w:val="left"/>
        <w:rPr>
          <w:rFonts w:ascii="楷体_GB2312" w:eastAsia="楷体_GB2312" w:hAnsi="楷体_GB2312" w:cs="楷体_GB2312"/>
          <w:sz w:val="32"/>
          <w:szCs w:val="32"/>
        </w:rPr>
      </w:pPr>
    </w:p>
    <w:p w14:paraId="0B6DF85B" w14:textId="5D694919" w:rsidR="00636609" w:rsidRDefault="008A219F">
      <w:pPr>
        <w:pStyle w:val="a5"/>
        <w:ind w:firstLineChars="200" w:firstLine="616"/>
        <w:jc w:val="left"/>
        <w:rPr>
          <w:rFonts w:ascii="楷体_GB2312" w:eastAsia="楷体_GB2312" w:hAnsi="楷体_GB2312" w:cs="楷体_GB2312"/>
          <w:spacing w:val="-6"/>
          <w:sz w:val="32"/>
          <w:szCs w:val="32"/>
        </w:rPr>
      </w:pPr>
      <w:r>
        <w:rPr>
          <w:rFonts w:ascii="楷体_GB2312" w:eastAsia="楷体_GB2312" w:hAnsi="楷体_GB2312" w:cs="楷体_GB2312" w:hint="eastAsia"/>
          <w:spacing w:val="-6"/>
          <w:sz w:val="32"/>
          <w:szCs w:val="32"/>
        </w:rPr>
        <w:t>(1994年8月23日中华人民共和国国务院令第163号发布　自1994年10月1日起施行)</w:t>
      </w:r>
    </w:p>
    <w:p w14:paraId="14DD6E03" w14:textId="77777777" w:rsidR="00636609" w:rsidRDefault="008A219F">
      <w:pPr>
        <w:pStyle w:val="2"/>
      </w:pPr>
      <w:r>
        <w:rPr>
          <w:rFonts w:ascii="Times New Roman" w:hAnsi="Times New Roman" w:cs="Times New Roman"/>
        </w:rPr>
        <w:t>第一章　总　　则</w:t>
      </w:r>
    </w:p>
    <w:p w14:paraId="0DD2305A"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为了消除碘缺乏危害，保护公民身体健康，制定本条例。</w:t>
      </w:r>
    </w:p>
    <w:p w14:paraId="53959634"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碘缺乏危害，是指由于环境缺碘、公民摄碘不足所引起的地方性甲状腺肿、地方性克汀病和对儿童智力发育的潜在性损伤。</w:t>
      </w:r>
    </w:p>
    <w:p w14:paraId="2CB03ADC"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国家对</w:t>
      </w:r>
      <w:r>
        <w:rPr>
          <w:rFonts w:ascii="仿宋_GB2312" w:eastAsia="仿宋_GB2312" w:hAnsi="仿宋_GB2312" w:cs="仿宋_GB2312" w:hint="eastAsia"/>
          <w:sz w:val="32"/>
          <w:szCs w:val="32"/>
        </w:rPr>
        <w:t>消除碘缺乏危害，采取长期供应加碘食盐(以下简称碘盐)为主的综合防</w:t>
      </w:r>
      <w:r>
        <w:rPr>
          <w:rFonts w:ascii="Times New Roman" w:eastAsia="仿宋_GB2312" w:hAnsi="Times New Roman" w:cs="Times New Roman"/>
          <w:sz w:val="32"/>
          <w:szCs w:val="32"/>
        </w:rPr>
        <w:t>治措施。</w:t>
      </w:r>
    </w:p>
    <w:p w14:paraId="7FCEC7F5"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国务院卫生行政部门</w:t>
      </w:r>
      <w:r>
        <w:rPr>
          <w:rFonts w:ascii="仿宋_GB2312" w:eastAsia="仿宋_GB2312" w:hAnsi="仿宋_GB2312" w:cs="仿宋_GB2312" w:hint="eastAsia"/>
          <w:sz w:val="32"/>
          <w:szCs w:val="32"/>
        </w:rPr>
        <w:t>负责碘缺乏危害防治和碘盐的卫生监督管理工作；国务院授权的盐业主管机构(以下简称国</w:t>
      </w:r>
      <w:proofErr w:type="gramStart"/>
      <w:r>
        <w:rPr>
          <w:rFonts w:ascii="仿宋_GB2312" w:eastAsia="仿宋_GB2312" w:hAnsi="仿宋_GB2312" w:cs="仿宋_GB2312" w:hint="eastAsia"/>
          <w:sz w:val="32"/>
          <w:szCs w:val="32"/>
        </w:rPr>
        <w:t>务</w:t>
      </w:r>
      <w:proofErr w:type="gramEnd"/>
      <w:r>
        <w:rPr>
          <w:rFonts w:ascii="仿宋_GB2312" w:eastAsia="仿宋_GB2312" w:hAnsi="仿宋_GB2312" w:cs="仿宋_GB2312" w:hint="eastAsia"/>
          <w:sz w:val="32"/>
          <w:szCs w:val="32"/>
        </w:rPr>
        <w:t>院盐业主管机构)负责全国碘盐加工、市场供应的监督管理工作。</w:t>
      </w:r>
    </w:p>
    <w:p w14:paraId="3ADA117E"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各级人民政府</w:t>
      </w:r>
      <w:r>
        <w:rPr>
          <w:rFonts w:ascii="仿宋_GB2312" w:eastAsia="仿宋_GB2312" w:hAnsi="仿宋_GB2312" w:cs="仿宋_GB2312" w:hint="eastAsia"/>
          <w:sz w:val="32"/>
          <w:szCs w:val="32"/>
        </w:rPr>
        <w:t>应当将食盐加碘消除碘缺乏危害的工作纳入本地区国民经济和社会发展计划，并组织实施。</w:t>
      </w:r>
    </w:p>
    <w:p w14:paraId="5ADDE29E" w14:textId="77777777" w:rsidR="00636609" w:rsidRDefault="008A219F">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县级以上人民政府有关部门应当按照职责分工</w:t>
      </w:r>
      <w:r>
        <w:rPr>
          <w:rFonts w:ascii="Times New Roman" w:eastAsia="仿宋_GB2312" w:hAnsi="Times New Roman" w:cs="Times New Roman"/>
          <w:sz w:val="32"/>
          <w:szCs w:val="32"/>
        </w:rPr>
        <w:t>，密切配合，</w:t>
      </w:r>
      <w:r>
        <w:rPr>
          <w:rFonts w:ascii="Times New Roman" w:eastAsia="仿宋_GB2312" w:hAnsi="Times New Roman" w:cs="Times New Roman"/>
          <w:sz w:val="32"/>
          <w:szCs w:val="32"/>
        </w:rPr>
        <w:lastRenderedPageBreak/>
        <w:t>共同做好食盐加碘消除碘缺乏危害工作。</w:t>
      </w:r>
    </w:p>
    <w:p w14:paraId="0D4BAB0E"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国家鼓励和支持在食盐加碘消除碘缺乏危害方面的科学研究和先进技术推广工作。</w:t>
      </w:r>
    </w:p>
    <w:p w14:paraId="2AEE01E4" w14:textId="77777777" w:rsidR="00636609" w:rsidRDefault="008A219F">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对在食盐加碘消除碘缺乏危害工作中做出显著成绩的单位和个人，给予奖励。</w:t>
      </w:r>
    </w:p>
    <w:p w14:paraId="07CB5E73" w14:textId="77777777" w:rsidR="00636609" w:rsidRDefault="008A219F">
      <w:pPr>
        <w:pStyle w:val="2"/>
      </w:pPr>
      <w:r>
        <w:t>第二章　碘盐的加工、运输和储存</w:t>
      </w:r>
    </w:p>
    <w:p w14:paraId="1FF3145B"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从事碘盐加工的盐业企业，应当由省、自治区、直辖市人民政府盐业主管机构指定，并取得同级人民政府卫生行政部门卫生许可后，报国务院盐业主管机构批准。</w:t>
      </w:r>
    </w:p>
    <w:p w14:paraId="4B60B1D6"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用于加工碘盐的食盐和碘酸</w:t>
      </w:r>
      <w:proofErr w:type="gramStart"/>
      <w:r>
        <w:rPr>
          <w:rFonts w:ascii="Times New Roman" w:eastAsia="仿宋_GB2312" w:hAnsi="Times New Roman" w:cs="Times New Roman"/>
          <w:sz w:val="32"/>
          <w:szCs w:val="32"/>
        </w:rPr>
        <w:t>钾必须</w:t>
      </w:r>
      <w:proofErr w:type="gramEnd"/>
      <w:r>
        <w:rPr>
          <w:rFonts w:ascii="Times New Roman" w:eastAsia="仿宋_GB2312" w:hAnsi="Times New Roman" w:cs="Times New Roman"/>
          <w:sz w:val="32"/>
          <w:szCs w:val="32"/>
        </w:rPr>
        <w:t>符合国家卫生标准。</w:t>
      </w:r>
    </w:p>
    <w:p w14:paraId="57934338" w14:textId="77777777" w:rsidR="00636609" w:rsidRDefault="008A219F">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碘盐中碘酸钾的加入量由国务院卫生行政部门确定。</w:t>
      </w:r>
    </w:p>
    <w:p w14:paraId="4786AB70"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碘盐出厂前必须经质量检验，未达到规定含量标准的碘盐不得出厂。</w:t>
      </w:r>
    </w:p>
    <w:p w14:paraId="146BB757"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碘盐出厂前必须予以包装。碘盐的包装应当有明显标识，并附有加工企业名称、地址、加碘量、批号、生产日期和保管方法等说明。</w:t>
      </w:r>
    </w:p>
    <w:p w14:paraId="03653B4F"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碘盐为国家重点运输物资。铁路、交通部门必须依照省、自治区、直辖市人民政府盐业主管机构报送的年度、月</w:t>
      </w:r>
      <w:r>
        <w:rPr>
          <w:rFonts w:ascii="Times New Roman" w:eastAsia="仿宋_GB2312" w:hAnsi="Times New Roman" w:cs="Times New Roman"/>
          <w:sz w:val="32"/>
          <w:szCs w:val="32"/>
        </w:rPr>
        <w:lastRenderedPageBreak/>
        <w:t>度运输计划，及时运送。</w:t>
      </w:r>
    </w:p>
    <w:p w14:paraId="5DA0E9BD" w14:textId="77777777" w:rsidR="00636609" w:rsidRDefault="008A219F">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碘盐的运输工具和装卸工具，必须符合卫生要求，不得与有毒、有害物质同载、混放。</w:t>
      </w:r>
    </w:p>
    <w:p w14:paraId="0133DFAA"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经营碘盐批发业务的企业和在交通不方便的地区经营碘盐零售业务的单位和个人，应当按照省、自治区、直辖市人民政府盐业主管机构的规定，保持合理的碘盐库存量。</w:t>
      </w:r>
    </w:p>
    <w:p w14:paraId="3E1834BB" w14:textId="77777777" w:rsidR="00636609" w:rsidRDefault="008A219F">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碘盐和非碘盐在储存场地应当分库或者分垛存放，做到防晒、干燥、安全、卫生。</w:t>
      </w:r>
    </w:p>
    <w:p w14:paraId="41ABB7B6"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碘剂的购置费用以及盐业企业因加碘而发生的各种费用，按照国家有关规定执行。</w:t>
      </w:r>
    </w:p>
    <w:p w14:paraId="73B394E2" w14:textId="77777777" w:rsidR="00636609" w:rsidRDefault="008A219F">
      <w:pPr>
        <w:pStyle w:val="2"/>
      </w:pPr>
      <w:r>
        <w:t>第三章　碘盐的供应</w:t>
      </w:r>
    </w:p>
    <w:p w14:paraId="4B63A527"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省、自治区、</w:t>
      </w:r>
      <w:r>
        <w:rPr>
          <w:rFonts w:ascii="仿宋_GB2312" w:eastAsia="仿宋_GB2312" w:hAnsi="仿宋_GB2312" w:cs="仿宋_GB2312" w:hint="eastAsia"/>
          <w:sz w:val="32"/>
          <w:szCs w:val="32"/>
        </w:rPr>
        <w:t>直辖市人民政府卫生行政部门负责划定碘缺乏地区(以下简称缺碘地区)范围，经本级人民政府批准后，报国务院卫生行政部门、国务院盐业主管机构备案。</w:t>
      </w:r>
    </w:p>
    <w:p w14:paraId="48C3972B"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国家优先保证缺碘地区居民的碘盐供应；除高</w:t>
      </w:r>
      <w:proofErr w:type="gramStart"/>
      <w:r>
        <w:rPr>
          <w:rFonts w:ascii="Times New Roman" w:eastAsia="仿宋_GB2312" w:hAnsi="Times New Roman" w:cs="Times New Roman"/>
          <w:sz w:val="32"/>
          <w:szCs w:val="32"/>
        </w:rPr>
        <w:t>碘地区</w:t>
      </w:r>
      <w:proofErr w:type="gramEnd"/>
      <w:r>
        <w:rPr>
          <w:rFonts w:ascii="Times New Roman" w:eastAsia="仿宋_GB2312" w:hAnsi="Times New Roman" w:cs="Times New Roman"/>
          <w:sz w:val="32"/>
          <w:szCs w:val="32"/>
        </w:rPr>
        <w:t>外，逐步实施向全民供应碘盐。</w:t>
      </w:r>
    </w:p>
    <w:p w14:paraId="128B29D6" w14:textId="77777777" w:rsidR="00636609" w:rsidRDefault="008A219F">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对于经济区域和</w:t>
      </w:r>
      <w:r>
        <w:rPr>
          <w:rFonts w:ascii="仿宋_GB2312" w:eastAsia="仿宋_GB2312" w:hAnsi="仿宋_GB2312" w:cs="仿宋_GB2312" w:hint="eastAsia"/>
          <w:sz w:val="32"/>
          <w:szCs w:val="32"/>
        </w:rPr>
        <w:t>行政区域不一致的缺碘地区，应当按照盐业运销渠道组织碘盐的供应。</w:t>
      </w:r>
    </w:p>
    <w:p w14:paraId="7FD0A8B7" w14:textId="77777777" w:rsidR="00636609" w:rsidRDefault="008A219F">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在缺碘地区生产、销售的食品和副</w:t>
      </w:r>
      <w:r>
        <w:rPr>
          <w:rFonts w:ascii="Times New Roman" w:eastAsia="仿宋_GB2312" w:hAnsi="Times New Roman" w:cs="Times New Roman"/>
          <w:sz w:val="32"/>
          <w:szCs w:val="32"/>
        </w:rPr>
        <w:t>食品，凡需添加食用盐的，</w:t>
      </w:r>
      <w:r>
        <w:rPr>
          <w:rFonts w:ascii="Times New Roman" w:eastAsia="仿宋_GB2312" w:hAnsi="Times New Roman" w:cs="Times New Roman"/>
          <w:sz w:val="32"/>
          <w:szCs w:val="32"/>
        </w:rPr>
        <w:lastRenderedPageBreak/>
        <w:t>必须使用碘盐。</w:t>
      </w:r>
    </w:p>
    <w:p w14:paraId="02E57A9B"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在缺碘地区销售的碘盐必须达到规定的含碘量，禁止非碘盐和不合格碘盐进入</w:t>
      </w:r>
      <w:r>
        <w:rPr>
          <w:rFonts w:ascii="仿宋_GB2312" w:eastAsia="仿宋_GB2312" w:hAnsi="仿宋_GB2312" w:cs="仿宋_GB2312" w:hint="eastAsia"/>
          <w:sz w:val="32"/>
          <w:szCs w:val="32"/>
        </w:rPr>
        <w:t>缺碘地区食用盐市场。</w:t>
      </w:r>
    </w:p>
    <w:p w14:paraId="389D452E" w14:textId="77777777" w:rsidR="00636609" w:rsidRDefault="008A219F">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对暂时不能供应碘盐的缺碘地区，经省、自治区、直辖市人民政府批准，可以暂时供应非碘盐；但是，省、自治区、直辖市人民政府卫生行政部门应当采取其他补碘的防治措施。</w:t>
      </w:r>
    </w:p>
    <w:p w14:paraId="0473CA63" w14:textId="77777777" w:rsidR="00636609" w:rsidRDefault="008A219F">
      <w:pPr>
        <w:pStyle w:val="a5"/>
        <w:ind w:firstLineChars="200" w:firstLine="640"/>
        <w:rPr>
          <w:rFonts w:ascii="Times New Roman" w:eastAsia="仿宋_GB2312" w:hAnsi="Times New Roman" w:cs="Times New Roman"/>
          <w:sz w:val="32"/>
          <w:szCs w:val="32"/>
        </w:rPr>
      </w:pPr>
      <w:r>
        <w:rPr>
          <w:rFonts w:ascii="仿宋_GB2312" w:eastAsia="仿宋_GB2312" w:hAnsi="仿宋_GB2312" w:cs="仿宋_GB2312" w:hint="eastAsia"/>
          <w:sz w:val="32"/>
          <w:szCs w:val="32"/>
        </w:rPr>
        <w:t>对缺碘地区季节性家庭工业、农业、副业、建筑业所</w:t>
      </w:r>
      <w:r>
        <w:rPr>
          <w:rFonts w:ascii="Times New Roman" w:eastAsia="仿宋_GB2312" w:hAnsi="Times New Roman" w:cs="Times New Roman"/>
          <w:sz w:val="32"/>
          <w:szCs w:val="32"/>
        </w:rPr>
        <w:t>需的非碘盐和非食用盐，由县级以上人民政府盐业主管机构组织供应。</w:t>
      </w:r>
    </w:p>
    <w:p w14:paraId="6927E5D2"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经营碘盐批发业务的企业，由省、自治区、直辖市人民政府盐业主管机构审批。</w:t>
      </w:r>
    </w:p>
    <w:p w14:paraId="3AA8896C" w14:textId="77777777" w:rsidR="00636609" w:rsidRDefault="008A219F">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碘盐批发企业应当从国务院</w:t>
      </w:r>
      <w:r>
        <w:rPr>
          <w:rFonts w:ascii="仿宋_GB2312" w:eastAsia="仿宋_GB2312" w:hAnsi="仿宋_GB2312" w:cs="仿宋_GB2312" w:hint="eastAsia"/>
          <w:sz w:val="32"/>
          <w:szCs w:val="32"/>
        </w:rPr>
        <w:t>盐业主管机构批准的碘盐加工企业进货。经营碘盐零售业务的单位和个人，应当从碘盐批发企业进货，不得从未经批准的单位和个人购进碘盐。</w:t>
      </w:r>
    </w:p>
    <w:p w14:paraId="6EACCFCB"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碘盐批发企业在从碘盐加工企业购进碘盐时，应当索取加碘证明，碘盐加工企业应当保证提供。</w:t>
      </w:r>
    </w:p>
    <w:p w14:paraId="76AC9D99"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碘盐零售单位销售的碘盐应当为小包装，并应当符合本条例的有关规定。碘盐零售的管理办法由省、自治区、直辖市人民政府根据实际情况制定。</w:t>
      </w:r>
    </w:p>
    <w:p w14:paraId="5726E45A"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为防治疾病，在碘</w:t>
      </w:r>
      <w:r>
        <w:rPr>
          <w:rFonts w:ascii="仿宋_GB2312" w:eastAsia="仿宋_GB2312" w:hAnsi="仿宋_GB2312" w:cs="仿宋_GB2312" w:hint="eastAsia"/>
          <w:sz w:val="32"/>
          <w:szCs w:val="32"/>
        </w:rPr>
        <w:t>盐中同时添加其他营养强化</w:t>
      </w:r>
      <w:proofErr w:type="gramStart"/>
      <w:r>
        <w:rPr>
          <w:rFonts w:ascii="仿宋_GB2312" w:eastAsia="仿宋_GB2312" w:hAnsi="仿宋_GB2312" w:cs="仿宋_GB2312" w:hint="eastAsia"/>
          <w:sz w:val="32"/>
          <w:szCs w:val="32"/>
        </w:rPr>
        <w:t>剂或者</w:t>
      </w:r>
      <w:proofErr w:type="gramEnd"/>
      <w:r>
        <w:rPr>
          <w:rFonts w:ascii="仿宋_GB2312" w:eastAsia="仿宋_GB2312" w:hAnsi="仿宋_GB2312" w:cs="仿宋_GB2312" w:hint="eastAsia"/>
          <w:sz w:val="32"/>
          <w:szCs w:val="32"/>
        </w:rPr>
        <w:t>药物的，须经省、自治区、直辖市人民政府卫生行政部门</w:t>
      </w:r>
      <w:r>
        <w:rPr>
          <w:rFonts w:ascii="Times New Roman" w:eastAsia="仿宋_GB2312" w:hAnsi="Times New Roman" w:cs="Times New Roman"/>
          <w:sz w:val="32"/>
          <w:szCs w:val="32"/>
        </w:rPr>
        <w:t>、</w:t>
      </w:r>
      <w:r>
        <w:rPr>
          <w:rFonts w:ascii="Times New Roman" w:eastAsia="仿宋_GB2312" w:hAnsi="Times New Roman" w:cs="Times New Roman"/>
          <w:sz w:val="32"/>
          <w:szCs w:val="32"/>
        </w:rPr>
        <w:lastRenderedPageBreak/>
        <w:t>盐业主管机构批准，并明确销售范围。</w:t>
      </w:r>
    </w:p>
    <w:p w14:paraId="0A132E96" w14:textId="77777777" w:rsidR="00636609" w:rsidRDefault="008A219F">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因治疗疾</w:t>
      </w:r>
      <w:r>
        <w:rPr>
          <w:rFonts w:ascii="仿宋_GB2312" w:eastAsia="仿宋_GB2312" w:hAnsi="仿宋_GB2312" w:cs="仿宋_GB2312" w:hint="eastAsia"/>
          <w:sz w:val="32"/>
          <w:szCs w:val="32"/>
        </w:rPr>
        <w:t>病，不宜食用碘盐的，应当持当地县级人民政府卫生行政部门指定的医疗机构出具的证明，到当地人民政府盐业主管机构指定的单位购买非碘盐。</w:t>
      </w:r>
    </w:p>
    <w:p w14:paraId="1CEED476" w14:textId="77777777" w:rsidR="00636609" w:rsidRDefault="008A219F">
      <w:pPr>
        <w:pStyle w:val="2"/>
      </w:pPr>
      <w:r>
        <w:t>第四章　监督和管理</w:t>
      </w:r>
    </w:p>
    <w:p w14:paraId="11596D8A"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县级以上地</w:t>
      </w:r>
      <w:r>
        <w:rPr>
          <w:rFonts w:ascii="仿宋_GB2312" w:eastAsia="仿宋_GB2312" w:hAnsi="仿宋_GB2312" w:cs="仿宋_GB2312" w:hint="eastAsia"/>
          <w:sz w:val="32"/>
          <w:szCs w:val="32"/>
        </w:rPr>
        <w:t>方各级人民政府卫生行政部门负责对本地区食盐加碘消除碘缺乏危害的卫生监督和碘盐的卫生监督以及防治效果评估；县级以上地方各级人民政府盐业主管机构负责对本地区碘盐加工、市场供应的监督管理。</w:t>
      </w:r>
    </w:p>
    <w:p w14:paraId="2ECC033A"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县级以上各</w:t>
      </w:r>
      <w:r>
        <w:rPr>
          <w:rFonts w:ascii="仿宋_GB2312" w:eastAsia="仿宋_GB2312" w:hAnsi="仿宋_GB2312" w:cs="仿宋_GB2312" w:hint="eastAsia"/>
          <w:sz w:val="32"/>
          <w:szCs w:val="32"/>
        </w:rPr>
        <w:t>级人民政府卫生行政部门有权按照国家规定，向碘酸</w:t>
      </w:r>
      <w:proofErr w:type="gramStart"/>
      <w:r>
        <w:rPr>
          <w:rFonts w:ascii="仿宋_GB2312" w:eastAsia="仿宋_GB2312" w:hAnsi="仿宋_GB2312" w:cs="仿宋_GB2312" w:hint="eastAsia"/>
          <w:sz w:val="32"/>
          <w:szCs w:val="32"/>
        </w:rPr>
        <w:t>钾生产</w:t>
      </w:r>
      <w:proofErr w:type="gramEnd"/>
      <w:r>
        <w:rPr>
          <w:rFonts w:ascii="仿宋_GB2312" w:eastAsia="仿宋_GB2312" w:hAnsi="仿宋_GB2312" w:cs="仿宋_GB2312" w:hint="eastAsia"/>
          <w:sz w:val="32"/>
          <w:szCs w:val="32"/>
        </w:rPr>
        <w:t>企业和碘盐加工、经营单位抽检样品，索取与卫生监测有关的资料，任何单位和个人不得拒绝</w:t>
      </w:r>
      <w:r>
        <w:rPr>
          <w:rFonts w:ascii="Times New Roman" w:eastAsia="仿宋_GB2312" w:hAnsi="Times New Roman" w:cs="Times New Roman"/>
          <w:sz w:val="32"/>
          <w:szCs w:val="32"/>
        </w:rPr>
        <w:t>、隐瞒或者提供虚假资料。</w:t>
      </w:r>
    </w:p>
    <w:p w14:paraId="63A49578"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卫生监督人员在</w:t>
      </w:r>
      <w:r>
        <w:rPr>
          <w:rFonts w:ascii="仿宋_GB2312" w:eastAsia="仿宋_GB2312" w:hAnsi="仿宋_GB2312" w:cs="仿宋_GB2312" w:hint="eastAsia"/>
          <w:sz w:val="32"/>
          <w:szCs w:val="32"/>
        </w:rPr>
        <w:t>实施卫生监督、监测时，应当主动出示卫生行政部门制发的监督证件；盐政人员在执行职务时，应当主动出示盐业主管机构制发的证件。</w:t>
      </w:r>
    </w:p>
    <w:p w14:paraId="3C070EC9" w14:textId="77777777" w:rsidR="00636609" w:rsidRDefault="008A219F">
      <w:pPr>
        <w:pStyle w:val="2"/>
      </w:pPr>
      <w:r>
        <w:t>第五章　罚　　则</w:t>
      </w:r>
    </w:p>
    <w:p w14:paraId="75CF07F6"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违反本条例的规定，擅自开办碘盐加工企业或</w:t>
      </w:r>
      <w:r>
        <w:rPr>
          <w:rFonts w:ascii="Times New Roman" w:eastAsia="仿宋_GB2312" w:hAnsi="Times New Roman" w:cs="Times New Roman"/>
          <w:sz w:val="32"/>
          <w:szCs w:val="32"/>
        </w:rPr>
        <w:lastRenderedPageBreak/>
        <w:t>者未经批准从事碘盐批发业务的，由县级以上人民政府盐业主管机构责令停止加工</w:t>
      </w:r>
      <w:r>
        <w:rPr>
          <w:rFonts w:ascii="仿宋_GB2312" w:eastAsia="仿宋_GB2312" w:hAnsi="仿宋_GB2312" w:cs="仿宋_GB2312" w:hint="eastAsia"/>
          <w:sz w:val="32"/>
          <w:szCs w:val="32"/>
        </w:rPr>
        <w:t>或者批发碘盐，没收</w:t>
      </w:r>
      <w:r>
        <w:rPr>
          <w:rFonts w:ascii="Times New Roman" w:eastAsia="仿宋_GB2312" w:hAnsi="Times New Roman" w:cs="Times New Roman"/>
          <w:sz w:val="32"/>
          <w:szCs w:val="32"/>
        </w:rPr>
        <w:t>全部碘盐和违法所得，可以</w:t>
      </w:r>
      <w:proofErr w:type="gramStart"/>
      <w:r>
        <w:rPr>
          <w:rFonts w:ascii="Times New Roman" w:eastAsia="仿宋_GB2312" w:hAnsi="Times New Roman" w:cs="Times New Roman"/>
          <w:sz w:val="32"/>
          <w:szCs w:val="32"/>
        </w:rPr>
        <w:t>并处该盐</w:t>
      </w:r>
      <w:proofErr w:type="gramEnd"/>
      <w:r>
        <w:rPr>
          <w:rFonts w:ascii="仿宋_GB2312" w:eastAsia="仿宋_GB2312" w:hAnsi="仿宋_GB2312" w:cs="仿宋_GB2312" w:hint="eastAsia"/>
          <w:sz w:val="32"/>
          <w:szCs w:val="32"/>
        </w:rPr>
        <w:t>产品价值3倍以下的罚款。</w:t>
      </w:r>
    </w:p>
    <w:p w14:paraId="22716B7E"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碘盐的加工企业、批发企业违反本条例的规定，加工、批发不合格碘盐的，</w:t>
      </w:r>
      <w:r>
        <w:rPr>
          <w:rFonts w:ascii="仿宋_GB2312" w:eastAsia="仿宋_GB2312" w:hAnsi="仿宋_GB2312" w:cs="仿宋_GB2312" w:hint="eastAsia"/>
          <w:sz w:val="32"/>
          <w:szCs w:val="32"/>
        </w:rPr>
        <w:t>由县级以上人民政府盐业主管机构责令停止出售并责令责任者按照国家规定标准对食盐补碘，没收违法所得，可以</w:t>
      </w:r>
      <w:proofErr w:type="gramStart"/>
      <w:r>
        <w:rPr>
          <w:rFonts w:ascii="仿宋_GB2312" w:eastAsia="仿宋_GB2312" w:hAnsi="仿宋_GB2312" w:cs="仿宋_GB2312" w:hint="eastAsia"/>
          <w:sz w:val="32"/>
          <w:szCs w:val="32"/>
        </w:rPr>
        <w:t>并处该盐</w:t>
      </w:r>
      <w:proofErr w:type="gramEnd"/>
      <w:r>
        <w:rPr>
          <w:rFonts w:ascii="仿宋_GB2312" w:eastAsia="仿宋_GB2312" w:hAnsi="仿宋_GB2312" w:cs="仿宋_GB2312" w:hint="eastAsia"/>
          <w:sz w:val="32"/>
          <w:szCs w:val="32"/>
        </w:rPr>
        <w:t>产品价值</w:t>
      </w:r>
      <w:r w:rsidR="009B0612">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倍以下的罚款。情节严重的，对加工企业，由省、自治区、直辖市人民政府盐业主管机构报请国务院盐业主管机构批准后，取消其碘盐加工资格；对</w:t>
      </w:r>
      <w:r>
        <w:rPr>
          <w:rFonts w:ascii="Times New Roman" w:eastAsia="仿宋_GB2312" w:hAnsi="Times New Roman" w:cs="Times New Roman"/>
          <w:sz w:val="32"/>
          <w:szCs w:val="32"/>
        </w:rPr>
        <w:t>批发企业，由省、自治区、直辖市人民政府盐业主管机构取消其碘盐批发资格。</w:t>
      </w:r>
    </w:p>
    <w:p w14:paraId="743595D0" w14:textId="77777777" w:rsidR="00636609" w:rsidRDefault="008A219F">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违反本条例的规定，在缺碘地区的食用</w:t>
      </w:r>
      <w:proofErr w:type="gramStart"/>
      <w:r>
        <w:rPr>
          <w:rFonts w:ascii="Times New Roman" w:eastAsia="仿宋_GB2312" w:hAnsi="Times New Roman" w:cs="Times New Roman"/>
          <w:sz w:val="32"/>
          <w:szCs w:val="32"/>
        </w:rPr>
        <w:t>盐市场</w:t>
      </w:r>
      <w:proofErr w:type="gramEnd"/>
      <w:r>
        <w:rPr>
          <w:rFonts w:ascii="Times New Roman" w:eastAsia="仿宋_GB2312" w:hAnsi="Times New Roman" w:cs="Times New Roman"/>
          <w:sz w:val="32"/>
          <w:szCs w:val="32"/>
        </w:rPr>
        <w:t>销售不合格碘盐或者擅自销售非</w:t>
      </w:r>
      <w:r>
        <w:rPr>
          <w:rFonts w:ascii="仿宋_GB2312" w:eastAsia="仿宋_GB2312" w:hAnsi="仿宋_GB2312" w:cs="仿宋_GB2312" w:hint="eastAsia"/>
          <w:sz w:val="32"/>
          <w:szCs w:val="32"/>
        </w:rPr>
        <w:t>碘盐的，由县级以上人民政府盐业主管机构没收其经营的全部盐产品和违法所得，可以</w:t>
      </w:r>
      <w:proofErr w:type="gramStart"/>
      <w:r>
        <w:rPr>
          <w:rFonts w:ascii="仿宋_GB2312" w:eastAsia="仿宋_GB2312" w:hAnsi="仿宋_GB2312" w:cs="仿宋_GB2312" w:hint="eastAsia"/>
          <w:sz w:val="32"/>
          <w:szCs w:val="32"/>
        </w:rPr>
        <w:t>并处该盐</w:t>
      </w:r>
      <w:proofErr w:type="gramEnd"/>
      <w:r>
        <w:rPr>
          <w:rFonts w:ascii="仿宋_GB2312" w:eastAsia="仿宋_GB2312" w:hAnsi="仿宋_GB2312" w:cs="仿宋_GB2312" w:hint="eastAsia"/>
          <w:sz w:val="32"/>
          <w:szCs w:val="32"/>
        </w:rPr>
        <w:t>产品价值</w:t>
      </w:r>
      <w:r w:rsidR="009B0612">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倍以下的罚款；情节严重，构成犯罪的，依法追究刑事责任。</w:t>
      </w:r>
    </w:p>
    <w:p w14:paraId="46C152FC"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违反本条例的</w:t>
      </w:r>
      <w:r>
        <w:rPr>
          <w:rFonts w:ascii="仿宋_GB2312" w:eastAsia="仿宋_GB2312" w:hAnsi="仿宋_GB2312" w:cs="仿宋_GB2312" w:hint="eastAsia"/>
          <w:sz w:val="32"/>
          <w:szCs w:val="32"/>
        </w:rPr>
        <w:t>规定，在碘盐的加工、运输、经营过程中不符合国家卫生标准的，由县级以上人民政府卫生行政部门责令责任者改正，可以</w:t>
      </w:r>
      <w:proofErr w:type="gramStart"/>
      <w:r>
        <w:rPr>
          <w:rFonts w:ascii="仿宋_GB2312" w:eastAsia="仿宋_GB2312" w:hAnsi="仿宋_GB2312" w:cs="仿宋_GB2312" w:hint="eastAsia"/>
          <w:sz w:val="32"/>
          <w:szCs w:val="32"/>
        </w:rPr>
        <w:t>并处该盐</w:t>
      </w:r>
      <w:proofErr w:type="gramEnd"/>
      <w:r>
        <w:rPr>
          <w:rFonts w:ascii="仿宋_GB2312" w:eastAsia="仿宋_GB2312" w:hAnsi="仿宋_GB2312" w:cs="仿宋_GB2312" w:hint="eastAsia"/>
          <w:sz w:val="32"/>
          <w:szCs w:val="32"/>
        </w:rPr>
        <w:t>产品价值</w:t>
      </w:r>
      <w:r w:rsidR="009B0612">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倍以下的</w:t>
      </w:r>
      <w:r>
        <w:rPr>
          <w:rFonts w:ascii="Times New Roman" w:eastAsia="仿宋_GB2312" w:hAnsi="Times New Roman" w:cs="Times New Roman"/>
          <w:sz w:val="32"/>
          <w:szCs w:val="32"/>
        </w:rPr>
        <w:t>罚款。</w:t>
      </w:r>
    </w:p>
    <w:p w14:paraId="0199624B"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违反本条例的规定，出厂碘盐未予包装或者包</w:t>
      </w:r>
      <w:r>
        <w:rPr>
          <w:rFonts w:ascii="Times New Roman" w:eastAsia="仿宋_GB2312" w:hAnsi="Times New Roman" w:cs="Times New Roman"/>
          <w:sz w:val="32"/>
          <w:szCs w:val="32"/>
        </w:rPr>
        <w:lastRenderedPageBreak/>
        <w:t>装不符合国家卫生标准的，由县级以上人民政府卫生行政部门责令改正，可以</w:t>
      </w:r>
      <w:proofErr w:type="gramStart"/>
      <w:r>
        <w:rPr>
          <w:rFonts w:ascii="Times New Roman" w:eastAsia="仿宋_GB2312" w:hAnsi="Times New Roman" w:cs="Times New Roman"/>
          <w:sz w:val="32"/>
          <w:szCs w:val="32"/>
        </w:rPr>
        <w:t>并处该盐</w:t>
      </w:r>
      <w:proofErr w:type="gramEnd"/>
      <w:r>
        <w:rPr>
          <w:rFonts w:ascii="Times New Roman" w:eastAsia="仿宋_GB2312" w:hAnsi="Times New Roman" w:cs="Times New Roman"/>
          <w:sz w:val="32"/>
          <w:szCs w:val="32"/>
        </w:rPr>
        <w:t>产品价值</w:t>
      </w:r>
      <w:r w:rsidR="009B0612">
        <w:rPr>
          <w:rFonts w:ascii="Times New Roman" w:eastAsia="仿宋_GB2312" w:hAnsi="Times New Roman" w:cs="Times New Roman" w:hint="eastAsia"/>
          <w:sz w:val="32"/>
          <w:szCs w:val="32"/>
        </w:rPr>
        <w:t>3</w:t>
      </w:r>
      <w:r>
        <w:rPr>
          <w:rFonts w:ascii="Times New Roman" w:eastAsia="仿宋_GB2312" w:hAnsi="Times New Roman" w:cs="Times New Roman"/>
          <w:sz w:val="32"/>
          <w:szCs w:val="32"/>
        </w:rPr>
        <w:t>倍以下的罚款。</w:t>
      </w:r>
    </w:p>
    <w:p w14:paraId="745C9B6E"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违反本条例的规定，在缺碘地区生产、销售的食品和副食品中添加非碘盐的，由县级以上人民政府卫生行政部门责令改正，没收违法所得，可以</w:t>
      </w:r>
      <w:proofErr w:type="gramStart"/>
      <w:r>
        <w:rPr>
          <w:rFonts w:ascii="Times New Roman" w:eastAsia="仿宋_GB2312" w:hAnsi="Times New Roman" w:cs="Times New Roman"/>
          <w:sz w:val="32"/>
          <w:szCs w:val="32"/>
        </w:rPr>
        <w:t>并处该产品</w:t>
      </w:r>
      <w:proofErr w:type="gramEnd"/>
      <w:r>
        <w:rPr>
          <w:rFonts w:ascii="Times New Roman" w:eastAsia="仿宋_GB2312" w:hAnsi="Times New Roman" w:cs="Times New Roman"/>
          <w:sz w:val="32"/>
          <w:szCs w:val="32"/>
        </w:rPr>
        <w:t>价值</w:t>
      </w:r>
      <w:r w:rsidR="009B0612">
        <w:rPr>
          <w:rFonts w:ascii="Times New Roman" w:eastAsia="仿宋_GB2312" w:hAnsi="Times New Roman" w:cs="Times New Roman" w:hint="eastAsia"/>
          <w:sz w:val="32"/>
          <w:szCs w:val="32"/>
        </w:rPr>
        <w:t>1</w:t>
      </w:r>
      <w:r>
        <w:rPr>
          <w:rFonts w:ascii="Times New Roman" w:eastAsia="仿宋_GB2312" w:hAnsi="Times New Roman" w:cs="Times New Roman"/>
          <w:sz w:val="32"/>
          <w:szCs w:val="32"/>
        </w:rPr>
        <w:t>倍以下的罚款。</w:t>
      </w:r>
    </w:p>
    <w:p w14:paraId="1FC3B00B" w14:textId="77777777" w:rsidR="00636609" w:rsidRDefault="008A219F">
      <w:pPr>
        <w:pStyle w:val="2"/>
      </w:pPr>
      <w:r>
        <w:t>第六章　附　　则</w:t>
      </w:r>
    </w:p>
    <w:p w14:paraId="3145565C"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畜牧用盐适用本条例。</w:t>
      </w:r>
    </w:p>
    <w:p w14:paraId="4C0EE262"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省、自治区、直辖市人民政府可以根据本条例制定实施办法。</w:t>
      </w:r>
    </w:p>
    <w:p w14:paraId="720FB712" w14:textId="77777777" w:rsidR="00636609" w:rsidRDefault="008A219F">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经省、自治区、直辖市人民政府卫生行政部门、盐业主管机构确定为应当供应碘盐的非缺碘地区适用本条例第十五条第二款、第三款和第十六条第一款、第三款的规定。</w:t>
      </w:r>
    </w:p>
    <w:p w14:paraId="5FEF15D6" w14:textId="77777777" w:rsidR="00636609" w:rsidRDefault="008A219F">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本条例</w:t>
      </w:r>
      <w:r>
        <w:rPr>
          <w:rFonts w:ascii="仿宋_GB2312" w:eastAsia="仿宋_GB2312" w:hAnsi="仿宋_GB2312" w:cs="仿宋_GB2312" w:hint="eastAsia"/>
          <w:sz w:val="32"/>
          <w:szCs w:val="32"/>
        </w:rPr>
        <w:t>自1994年10月1日起施行。1979年12月21日国务院批转的《食盐加碘防治地方性甲状腺肿暂行办法》同时废止。</w:t>
      </w:r>
    </w:p>
    <w:sectPr w:rsidR="00636609" w:rsidSect="0063660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E7B143" w14:textId="77777777" w:rsidR="00EC6F9F" w:rsidRDefault="00EC6F9F" w:rsidP="00636609">
      <w:r>
        <w:separator/>
      </w:r>
    </w:p>
  </w:endnote>
  <w:endnote w:type="continuationSeparator" w:id="0">
    <w:p w14:paraId="0DC7ACE2" w14:textId="77777777" w:rsidR="00EC6F9F" w:rsidRDefault="00EC6F9F" w:rsidP="006366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variable"/>
    <w:sig w:usb0="A00002BF" w:usb1="38CF7CFA" w:usb2="00082016" w:usb3="00000000" w:csb0="00040001" w:csb1="00000000"/>
  </w:font>
  <w:font w:name="方正楷体_GBK">
    <w:altName w:val="微软雅黑"/>
    <w:charset w:val="86"/>
    <w:family w:val="auto"/>
    <w:pitch w:val="variable"/>
    <w:sig w:usb0="A00002BF" w:usb1="38CF7CFA" w:usb2="00082016" w:usb3="00000000" w:csb0="00040001"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02F1A" w14:textId="77777777" w:rsidR="00636609" w:rsidRDefault="00000000">
    <w:pPr>
      <w:pStyle w:val="a9"/>
    </w:pPr>
    <w:r>
      <w:pict w14:anchorId="0AC4B5FA">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3785E022" w14:textId="77777777" w:rsidR="00636609" w:rsidRDefault="00636609">
                <w:pPr>
                  <w:pStyle w:val="a9"/>
                  <w:rPr>
                    <w:sz w:val="24"/>
                  </w:rPr>
                </w:pPr>
                <w:r>
                  <w:rPr>
                    <w:rFonts w:hint="eastAsia"/>
                    <w:sz w:val="24"/>
                  </w:rPr>
                  <w:fldChar w:fldCharType="begin"/>
                </w:r>
                <w:r w:rsidR="008A219F">
                  <w:rPr>
                    <w:rFonts w:hint="eastAsia"/>
                    <w:sz w:val="24"/>
                  </w:rPr>
                  <w:instrText xml:space="preserve"> PAGE  \* MERGEFORMAT </w:instrText>
                </w:r>
                <w:r>
                  <w:rPr>
                    <w:rFonts w:hint="eastAsia"/>
                    <w:sz w:val="24"/>
                  </w:rPr>
                  <w:fldChar w:fldCharType="separate"/>
                </w:r>
                <w:r w:rsidR="009B0612">
                  <w:rPr>
                    <w:noProof/>
                    <w:sz w:val="24"/>
                  </w:rPr>
                  <w:t>- 6 -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4B40FF" w14:textId="77777777" w:rsidR="00EC6F9F" w:rsidRDefault="00EC6F9F" w:rsidP="00636609">
      <w:r>
        <w:separator/>
      </w:r>
    </w:p>
  </w:footnote>
  <w:footnote w:type="continuationSeparator" w:id="0">
    <w:p w14:paraId="119643BF" w14:textId="77777777" w:rsidR="00EC6F9F" w:rsidRDefault="00EC6F9F" w:rsidP="00636609">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36609"/>
    <w:rsid w:val="006405E2"/>
    <w:rsid w:val="006848F5"/>
    <w:rsid w:val="00696FE9"/>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A219F"/>
    <w:rsid w:val="008C4A57"/>
    <w:rsid w:val="008F43D9"/>
    <w:rsid w:val="00915322"/>
    <w:rsid w:val="00916393"/>
    <w:rsid w:val="00917678"/>
    <w:rsid w:val="0093607B"/>
    <w:rsid w:val="009567A4"/>
    <w:rsid w:val="00965278"/>
    <w:rsid w:val="00965B34"/>
    <w:rsid w:val="009B0612"/>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C6F9F"/>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904CDD"/>
    <w:rsid w:val="16E85B46"/>
    <w:rsid w:val="174517D7"/>
    <w:rsid w:val="18413C16"/>
    <w:rsid w:val="18452D92"/>
    <w:rsid w:val="18971E78"/>
    <w:rsid w:val="18B43502"/>
    <w:rsid w:val="18C776B0"/>
    <w:rsid w:val="18D31A30"/>
    <w:rsid w:val="198A0A54"/>
    <w:rsid w:val="19DB6C33"/>
    <w:rsid w:val="19DD44F3"/>
    <w:rsid w:val="1A3209E2"/>
    <w:rsid w:val="1A6A0798"/>
    <w:rsid w:val="1A8E3AF5"/>
    <w:rsid w:val="1ABC528A"/>
    <w:rsid w:val="1AC13CB4"/>
    <w:rsid w:val="1B2039C2"/>
    <w:rsid w:val="1B256F50"/>
    <w:rsid w:val="1BAF2172"/>
    <w:rsid w:val="1BB030C6"/>
    <w:rsid w:val="1C6F6A7C"/>
    <w:rsid w:val="1C71182F"/>
    <w:rsid w:val="1C886852"/>
    <w:rsid w:val="1C9212F7"/>
    <w:rsid w:val="1D1A78F5"/>
    <w:rsid w:val="1D7E4D7C"/>
    <w:rsid w:val="1DE31DD5"/>
    <w:rsid w:val="1DF16766"/>
    <w:rsid w:val="1E4C028F"/>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2040C6"/>
    <w:rsid w:val="23341BEE"/>
    <w:rsid w:val="23423DA1"/>
    <w:rsid w:val="247B27CE"/>
    <w:rsid w:val="24FA302F"/>
    <w:rsid w:val="253620CC"/>
    <w:rsid w:val="25636DDB"/>
    <w:rsid w:val="25690A08"/>
    <w:rsid w:val="25981EEB"/>
    <w:rsid w:val="25BF3D61"/>
    <w:rsid w:val="25F044FF"/>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480445"/>
    <w:rsid w:val="29824406"/>
    <w:rsid w:val="299C79B4"/>
    <w:rsid w:val="2A8D0D45"/>
    <w:rsid w:val="2B01664D"/>
    <w:rsid w:val="2B4F432A"/>
    <w:rsid w:val="2B6968CF"/>
    <w:rsid w:val="2BEC1432"/>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9C60FB"/>
    <w:rsid w:val="34B24EB5"/>
    <w:rsid w:val="34C9780A"/>
    <w:rsid w:val="34DC1FAB"/>
    <w:rsid w:val="34E116C0"/>
    <w:rsid w:val="35095248"/>
    <w:rsid w:val="355560D1"/>
    <w:rsid w:val="35AE4DD0"/>
    <w:rsid w:val="35E26969"/>
    <w:rsid w:val="364F705A"/>
    <w:rsid w:val="36EB04F2"/>
    <w:rsid w:val="37243551"/>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FC6899"/>
    <w:rsid w:val="3E3675FB"/>
    <w:rsid w:val="3E851072"/>
    <w:rsid w:val="3E926100"/>
    <w:rsid w:val="3E9623DC"/>
    <w:rsid w:val="3EEC1919"/>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CEA7E6E"/>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2E14910"/>
    <w:rsid w:val="53301984"/>
    <w:rsid w:val="53495A7C"/>
    <w:rsid w:val="538B13EF"/>
    <w:rsid w:val="53BF5C69"/>
    <w:rsid w:val="53DA0A43"/>
    <w:rsid w:val="54031803"/>
    <w:rsid w:val="549067EE"/>
    <w:rsid w:val="54942BB0"/>
    <w:rsid w:val="54C829F5"/>
    <w:rsid w:val="550700D3"/>
    <w:rsid w:val="55843436"/>
    <w:rsid w:val="55B865F8"/>
    <w:rsid w:val="55C0390E"/>
    <w:rsid w:val="55D13F1F"/>
    <w:rsid w:val="55D520AC"/>
    <w:rsid w:val="55E369AE"/>
    <w:rsid w:val="560523EE"/>
    <w:rsid w:val="566E5F27"/>
    <w:rsid w:val="566F7832"/>
    <w:rsid w:val="56E0027A"/>
    <w:rsid w:val="56E91124"/>
    <w:rsid w:val="57070C7D"/>
    <w:rsid w:val="570E6205"/>
    <w:rsid w:val="575D4E2E"/>
    <w:rsid w:val="577F6B33"/>
    <w:rsid w:val="58035B31"/>
    <w:rsid w:val="582D45D3"/>
    <w:rsid w:val="58CE6FC1"/>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BC4F38"/>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4D66FD"/>
    <w:rsid w:val="735A6A5C"/>
    <w:rsid w:val="7375262D"/>
    <w:rsid w:val="73AF3C73"/>
    <w:rsid w:val="741A53B1"/>
    <w:rsid w:val="746128E3"/>
    <w:rsid w:val="746D1278"/>
    <w:rsid w:val="74F25486"/>
    <w:rsid w:val="762C29D0"/>
    <w:rsid w:val="765D4468"/>
    <w:rsid w:val="76635F01"/>
    <w:rsid w:val="76975133"/>
    <w:rsid w:val="769B60FD"/>
    <w:rsid w:val="76B44E24"/>
    <w:rsid w:val="76C10F77"/>
    <w:rsid w:val="772966DA"/>
    <w:rsid w:val="7756146B"/>
    <w:rsid w:val="77A753ED"/>
    <w:rsid w:val="77AD03FC"/>
    <w:rsid w:val="77D8678E"/>
    <w:rsid w:val="77D9199A"/>
    <w:rsid w:val="77FF68F3"/>
    <w:rsid w:val="78061DFD"/>
    <w:rsid w:val="7814798C"/>
    <w:rsid w:val="7819740D"/>
    <w:rsid w:val="781E454A"/>
    <w:rsid w:val="789F59B2"/>
    <w:rsid w:val="78D15BEB"/>
    <w:rsid w:val="78DE7FEC"/>
    <w:rsid w:val="78E10B53"/>
    <w:rsid w:val="78ED2B64"/>
    <w:rsid w:val="796E7B9B"/>
    <w:rsid w:val="796F317E"/>
    <w:rsid w:val="79A7191C"/>
    <w:rsid w:val="7A224A32"/>
    <w:rsid w:val="7A4B0114"/>
    <w:rsid w:val="7A6D55E9"/>
    <w:rsid w:val="7A9B2814"/>
    <w:rsid w:val="7ABD49CD"/>
    <w:rsid w:val="7ADE2DE7"/>
    <w:rsid w:val="7B2937B2"/>
    <w:rsid w:val="7B521C8E"/>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A37A1C4"/>
  <w15:docId w15:val="{64158481-2A09-4978-B158-C524EC70E2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36609"/>
    <w:pPr>
      <w:widowControl w:val="0"/>
      <w:jc w:val="both"/>
    </w:pPr>
    <w:rPr>
      <w:kern w:val="2"/>
      <w:sz w:val="21"/>
    </w:rPr>
  </w:style>
  <w:style w:type="paragraph" w:styleId="1">
    <w:name w:val="heading 1"/>
    <w:basedOn w:val="a"/>
    <w:next w:val="a"/>
    <w:link w:val="10"/>
    <w:uiPriority w:val="9"/>
    <w:qFormat/>
    <w:rsid w:val="0063660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636609"/>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63660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63660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636609"/>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63660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636609"/>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63660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636609"/>
    <w:pPr>
      <w:spacing w:before="100" w:beforeAutospacing="1" w:after="120"/>
      <w:ind w:leftChars="200" w:left="200"/>
    </w:pPr>
    <w:rPr>
      <w:szCs w:val="21"/>
    </w:rPr>
  </w:style>
  <w:style w:type="paragraph" w:styleId="a5">
    <w:name w:val="Plain Text"/>
    <w:basedOn w:val="a"/>
    <w:link w:val="a6"/>
    <w:uiPriority w:val="99"/>
    <w:unhideWhenUsed/>
    <w:qFormat/>
    <w:rsid w:val="00636609"/>
    <w:rPr>
      <w:rFonts w:ascii="宋体" w:hAnsi="Courier New" w:cs="Courier New"/>
      <w:szCs w:val="21"/>
    </w:rPr>
  </w:style>
  <w:style w:type="paragraph" w:styleId="a7">
    <w:name w:val="Balloon Text"/>
    <w:basedOn w:val="a"/>
    <w:link w:val="a8"/>
    <w:uiPriority w:val="99"/>
    <w:semiHidden/>
    <w:unhideWhenUsed/>
    <w:qFormat/>
    <w:rsid w:val="00636609"/>
    <w:rPr>
      <w:rFonts w:asciiTheme="minorHAnsi" w:eastAsiaTheme="minorEastAsia" w:hAnsiTheme="minorHAnsi" w:cstheme="minorBidi"/>
      <w:sz w:val="18"/>
      <w:szCs w:val="18"/>
    </w:rPr>
  </w:style>
  <w:style w:type="paragraph" w:styleId="a9">
    <w:name w:val="footer"/>
    <w:basedOn w:val="a"/>
    <w:link w:val="aa"/>
    <w:uiPriority w:val="99"/>
    <w:unhideWhenUsed/>
    <w:qFormat/>
    <w:rsid w:val="00636609"/>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63660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636609"/>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636609"/>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636609"/>
    <w:pPr>
      <w:spacing w:before="240" w:after="60"/>
      <w:jc w:val="center"/>
      <w:outlineLvl w:val="0"/>
    </w:pPr>
    <w:rPr>
      <w:rFonts w:ascii="Cambria" w:hAnsi="Cambria"/>
      <w:b/>
      <w:sz w:val="32"/>
      <w:szCs w:val="32"/>
    </w:rPr>
  </w:style>
  <w:style w:type="table" w:styleId="af1">
    <w:name w:val="Table Grid"/>
    <w:basedOn w:val="a1"/>
    <w:uiPriority w:val="59"/>
    <w:qFormat/>
    <w:rsid w:val="0063660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636609"/>
    <w:rPr>
      <w:vertAlign w:val="superscript"/>
    </w:rPr>
  </w:style>
  <w:style w:type="character" w:customStyle="1" w:styleId="a6">
    <w:name w:val="纯文本 字符"/>
    <w:basedOn w:val="a0"/>
    <w:link w:val="a5"/>
    <w:uiPriority w:val="99"/>
    <w:qFormat/>
    <w:rsid w:val="00636609"/>
    <w:rPr>
      <w:rFonts w:ascii="宋体" w:eastAsia="宋体" w:hAnsi="Courier New" w:cs="Courier New"/>
      <w:szCs w:val="21"/>
    </w:rPr>
  </w:style>
  <w:style w:type="character" w:customStyle="1" w:styleId="ac">
    <w:name w:val="页眉 字符"/>
    <w:basedOn w:val="a0"/>
    <w:link w:val="ab"/>
    <w:uiPriority w:val="99"/>
    <w:qFormat/>
    <w:rsid w:val="00636609"/>
    <w:rPr>
      <w:sz w:val="18"/>
      <w:szCs w:val="18"/>
    </w:rPr>
  </w:style>
  <w:style w:type="character" w:customStyle="1" w:styleId="Char">
    <w:name w:val="页脚 Char"/>
    <w:basedOn w:val="a0"/>
    <w:uiPriority w:val="99"/>
    <w:qFormat/>
    <w:rsid w:val="00636609"/>
    <w:rPr>
      <w:sz w:val="18"/>
      <w:szCs w:val="18"/>
    </w:rPr>
  </w:style>
  <w:style w:type="character" w:customStyle="1" w:styleId="10">
    <w:name w:val="标题 1 字符"/>
    <w:basedOn w:val="a0"/>
    <w:link w:val="1"/>
    <w:uiPriority w:val="9"/>
    <w:qFormat/>
    <w:rsid w:val="00636609"/>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636609"/>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636609"/>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636609"/>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636609"/>
    <w:rPr>
      <w:b/>
      <w:bCs/>
      <w:sz w:val="28"/>
      <w:szCs w:val="28"/>
    </w:rPr>
  </w:style>
  <w:style w:type="character" w:customStyle="1" w:styleId="60">
    <w:name w:val="标题 6 字符"/>
    <w:basedOn w:val="a0"/>
    <w:link w:val="6"/>
    <w:uiPriority w:val="9"/>
    <w:semiHidden/>
    <w:qFormat/>
    <w:rsid w:val="00636609"/>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636609"/>
    <w:rPr>
      <w:b/>
      <w:bCs/>
      <w:sz w:val="24"/>
      <w:szCs w:val="24"/>
    </w:rPr>
  </w:style>
  <w:style w:type="character" w:customStyle="1" w:styleId="80">
    <w:name w:val="标题 8 字符"/>
    <w:basedOn w:val="a0"/>
    <w:link w:val="8"/>
    <w:uiPriority w:val="9"/>
    <w:semiHidden/>
    <w:qFormat/>
    <w:rsid w:val="00636609"/>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636609"/>
    <w:rPr>
      <w:kern w:val="2"/>
      <w:sz w:val="18"/>
      <w:szCs w:val="18"/>
    </w:rPr>
  </w:style>
  <w:style w:type="character" w:customStyle="1" w:styleId="15">
    <w:name w:val="15"/>
    <w:basedOn w:val="a0"/>
    <w:qFormat/>
    <w:rsid w:val="00636609"/>
    <w:rPr>
      <w:rFonts w:ascii="Times New Roman" w:hAnsi="Times New Roman" w:cs="Times New Roman" w:hint="default"/>
      <w:b/>
      <w:bCs/>
    </w:rPr>
  </w:style>
  <w:style w:type="character" w:customStyle="1" w:styleId="a4">
    <w:name w:val="正文文本缩进 字符"/>
    <w:basedOn w:val="a0"/>
    <w:link w:val="a3"/>
    <w:uiPriority w:val="99"/>
    <w:qFormat/>
    <w:rsid w:val="00636609"/>
    <w:rPr>
      <w:rFonts w:ascii="Times New Roman" w:eastAsia="宋体" w:hAnsi="Times New Roman" w:cs="Times New Roman"/>
      <w:kern w:val="2"/>
      <w:sz w:val="21"/>
      <w:szCs w:val="21"/>
    </w:rPr>
  </w:style>
  <w:style w:type="character" w:customStyle="1" w:styleId="af0">
    <w:name w:val="标题 字符"/>
    <w:basedOn w:val="a0"/>
    <w:link w:val="af"/>
    <w:qFormat/>
    <w:rsid w:val="00636609"/>
    <w:rPr>
      <w:rFonts w:ascii="Cambria" w:eastAsia="宋体" w:hAnsi="Cambria" w:cs="Cambria" w:hint="default"/>
      <w:b/>
      <w:kern w:val="2"/>
      <w:sz w:val="32"/>
      <w:szCs w:val="32"/>
    </w:rPr>
  </w:style>
  <w:style w:type="character" w:customStyle="1" w:styleId="aa">
    <w:name w:val="页脚 字符"/>
    <w:basedOn w:val="a0"/>
    <w:link w:val="a9"/>
    <w:qFormat/>
    <w:rsid w:val="00636609"/>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01FAD0A-0901-4619-8CE1-3C202FE50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431</Words>
  <Characters>2457</Characters>
  <Application>Microsoft Office Word</Application>
  <DocSecurity>0</DocSecurity>
  <Lines>20</Lines>
  <Paragraphs>5</Paragraphs>
  <ScaleCrop>false</ScaleCrop>
  <Company/>
  <LinksUpToDate>false</LinksUpToDate>
  <CharactersWithSpaces>2883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2022-11-30T02:41:00Z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