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中华人民共和国渔港水域交通安全管理条例</w:t>
      </w:r>
    </w:p>
    <w:p>
      <w:pPr>
        <w:pStyle w:val="3"/>
        <w:keepNext/>
        <w:keepLines/>
        <w:pageBreakBefore w:val="0"/>
        <w:widowControl w:val="0"/>
        <w:kinsoku/>
        <w:wordWrap/>
        <w:overflowPunct/>
        <w:topLinePunct w:val="0"/>
        <w:autoSpaceDE/>
        <w:autoSpaceDN/>
        <w:bidi w:val="0"/>
        <w:adjustRightInd/>
        <w:snapToGrid/>
        <w:ind w:firstLine="640" w:firstLineChars="200"/>
        <w:jc w:val="left"/>
        <w:textAlignment w:val="auto"/>
        <w:rPr>
          <w:rFonts w:hint="eastAsia" w:ascii="楷体_GB2312" w:hAnsi="楷体_GB2312" w:eastAsia="楷体_GB2312" w:cs="楷体_GB2312"/>
          <w:b w:val="0"/>
          <w:bCs w:val="0"/>
          <w:spacing w:val="0"/>
          <w:sz w:val="32"/>
          <w:szCs w:val="32"/>
        </w:rPr>
      </w:pPr>
      <w:r>
        <w:rPr>
          <w:rFonts w:hint="eastAsia" w:ascii="楷体_GB2312" w:hAnsi="楷体_GB2312" w:eastAsia="楷体_GB2312" w:cs="楷体_GB2312"/>
          <w:b w:val="0"/>
          <w:bCs w:val="0"/>
          <w:spacing w:val="0"/>
          <w:sz w:val="32"/>
          <w:szCs w:val="32"/>
        </w:rPr>
        <w:t>(198</w:t>
      </w:r>
      <w:r>
        <w:rPr>
          <w:rFonts w:hint="eastAsia" w:ascii="楷体_GB2312" w:hAnsi="楷体_GB2312" w:eastAsia="楷体_GB2312" w:cs="楷体_GB2312"/>
          <w:b w:val="0"/>
          <w:bCs w:val="0"/>
          <w:spacing w:val="0"/>
          <w:sz w:val="32"/>
          <w:szCs w:val="32"/>
          <w:lang w:val="en-US" w:eastAsia="zh-CN"/>
        </w:rPr>
        <w:t>9</w:t>
      </w:r>
      <w:r>
        <w:rPr>
          <w:rFonts w:hint="eastAsia" w:ascii="楷体_GB2312" w:hAnsi="楷体_GB2312" w:eastAsia="楷体_GB2312" w:cs="楷体_GB2312"/>
          <w:b w:val="0"/>
          <w:bCs w:val="0"/>
          <w:spacing w:val="0"/>
          <w:sz w:val="32"/>
          <w:szCs w:val="32"/>
        </w:rPr>
        <w:t>年7月3日中华人民共和国国务院令第38号发布　根据2011年1月8日《国务院关于废止和修改部分行政法规的决定》第一次修订　根据2017年10月7日《国务院关于修改部分行政法规的决定》第二次修订</w:t>
      </w:r>
      <w:r>
        <w:rPr>
          <w:rFonts w:hint="eastAsia" w:ascii="楷体_GB2312" w:hAnsi="楷体_GB2312" w:eastAsia="楷体_GB2312" w:cs="楷体_GB2312"/>
          <w:b w:val="0"/>
          <w:bCs w:val="0"/>
          <w:spacing w:val="0"/>
          <w:sz w:val="32"/>
          <w:szCs w:val="32"/>
        </w:rPr>
        <w:t>)</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根据《中华人民共和国海上交通安全法》第四十八条的规定，制定本条例。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本条例适用于在中华人民共和国沿海以渔业为主的渔港和渔港水</w:t>
      </w:r>
      <w:r>
        <w:rPr>
          <w:rFonts w:hint="eastAsia" w:ascii="仿宋_GB2312" w:hAnsi="仿宋_GB2312" w:eastAsia="仿宋_GB2312" w:cs="仿宋_GB2312"/>
          <w:sz w:val="32"/>
          <w:szCs w:val="32"/>
        </w:rPr>
        <w:t>域(以下简称“渔港”和“渔港水域”)航</w:t>
      </w:r>
      <w:r>
        <w:rPr>
          <w:rFonts w:ascii="Times New Roman" w:hAnsi="Times New Roman" w:eastAsia="仿宋_GB2312" w:cs="Times New Roman"/>
          <w:sz w:val="32"/>
          <w:szCs w:val="32"/>
        </w:rPr>
        <w:t>行、停泊、作业的船舶、设施和人员以及船舶、设施的所有者、经营者。</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中华人民共和国渔政渔港监督管理机关是对渔港水域交通安全实施监督管理的主管机关，并负责沿海水域渔业船舶之间交通事故的调查处理。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本条例下列用语</w:t>
      </w:r>
      <w:r>
        <w:rPr>
          <w:rFonts w:hint="eastAsia" w:ascii="仿宋_GB2312" w:hAnsi="仿宋_GB2312" w:eastAsia="仿宋_GB2312" w:cs="仿宋_GB2312"/>
          <w:sz w:val="32"/>
          <w:szCs w:val="32"/>
        </w:rPr>
        <w:t>的含义是：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渔港是指主要为渔业生产服务和供渔业船舶停泊、避风、装卸渔获物和补充渔需物资的人工港口或者自然港湾。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渔港水域是指渔港的港池、锚地、避风湾和航道。</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渔业船舶是指从事渔业生产的船舶以及属于水产系统为渔业生产服务的船舶，包括</w:t>
      </w:r>
      <w:r>
        <w:rPr>
          <w:rFonts w:hint="eastAsia" w:ascii="仿宋_GB2312" w:hAnsi="仿宋_GB2312" w:eastAsia="仿宋_GB2312" w:cs="仿宋_GB2312"/>
          <w:sz w:val="32"/>
          <w:szCs w:val="32"/>
        </w:rPr>
        <w:t>捕捞船、养殖船、水产运销船、冷藏加工船、油船、供应船、渔业指导船、科研调查船、教学实习船、渔港工程船、拖轮、交通船、驳船、渔政船和渔监船。</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对渔港认定有不同意见的，依照港口隶属关系由县级以上人民政府确定。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船舶进出渔港必须遵守渔港管理章程以及国际海上避碰规则，并依照规定办理签证，接受安全检查。</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渔港内的船舶必须服从渔政渔港监督管理机关对水域交通安全秩序的管理。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船舶在渔港内停泊、避风和装卸物资，不得损坏渔港的设施装备；造成损坏的应当向渔政</w:t>
      </w:r>
      <w:r>
        <w:rPr>
          <w:rFonts w:hint="eastAsia" w:ascii="仿宋_GB2312" w:hAnsi="仿宋_GB2312" w:eastAsia="仿宋_GB2312" w:cs="仿宋_GB2312"/>
          <w:sz w:val="32"/>
          <w:szCs w:val="32"/>
        </w:rPr>
        <w:t>渔港监督管理机关报告，并承担赔偿责任。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船舶在渔港内装卸易燃、易爆、有毒等危险货物，必须遵守国家关于危险货物管理的规定，并事先向渔政渔港监督管理机关提出申请，经批准后在指定的安全地点装卸。</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在渔港内新建、改建、扩建各种设施，或者进行其他水上、水下施工作业，除依照国家规定履行审批手续外，应当报请渔政渔港监督管理机关批准。渔政渔港监督管理机关批准后，应当事先发布航行通告。</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在渔港内的航道、港池、锚地和停泊区，禁止从事有碍海上交通安全的捕捞、养殖等生产活动。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国家公务船舶在执行公务时进出渔港，经通报渔政渔港监督管理机关，可免于签证、检查。渔政渔港监督管理机关应当对执行海上巡视任务的国家公务船舶的靠岸、停泊和补给提供方便。</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渔业船舶在向渔政渔港监督管理机关申请船舶登记，并取得渔业船舶国籍证书或者渔业船舶登记证书后，方可悬挂中华人民共和国国旗航行。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渔业船舶必须经船舶检验部门检验合格，取得船舶技术证书，并领取渔政渔港监督管理机关签发的渔业船舶航行签证簿后，方可从事渔业生产。</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渔业船舶的船长、轮机长、驾驶员、轮机员、电机员、无线电报务员、话务员，必须经渔政渔港监督管理机关考核合格，取得职务证书，其他人员应当经过相应的专业训练。</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地方各级人民政府应当加强本行政区域内渔业船舶船员的技术培训工作。国营、集体所有的渔业船舶，其船员的技术培训由渔业船舶所属单位负责；个人所有的渔业船舶，其船员的技术培训由当地人民政府渔业行政主管部门负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渔业船舶之间发生交通事故，应当向就近的渔政渔港监督管理机关报告，并在进入第一个港口48小时之内向渔政渔港监督管理机关递交事故报告书和有关材料，接受调查处理。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渔政渔港监督管理机关对渔港水域内的交通事故和其他沿海水域渔业船舶之间的交通事故，应当及时查明原因，判明责任，作出处理决定。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渔港内的船舶、设施有下列情形之一的，渔政渔港监督管理机关有权禁止</w:t>
      </w:r>
      <w:r>
        <w:rPr>
          <w:rFonts w:hint="eastAsia" w:ascii="仿宋_GB2312" w:hAnsi="仿宋_GB2312" w:eastAsia="仿宋_GB2312" w:cs="仿宋_GB2312"/>
          <w:sz w:val="32"/>
          <w:szCs w:val="32"/>
        </w:rPr>
        <w:t>其离港，或者令其停航、改航、停止作业：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(一)违反中华人民共和国法律、法规或者规章的；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(二)处于不适航或者不适拖状态的；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(三)发生交通事故，手续未清的；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(四)未向渔政渔港监督管理机关或者有关部门交付应当承担的费用，也未提供担保的；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(五)渔政渔港监督管理机关认为有其他妨害或者可能妨害海上交通安全的。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渔港内的船舶、设施发生事故，对海上交通安全造成或者可能造成危害，渔政渔港监督管理机关有权对其采取强制性处置措施。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船舶进出渔港依照规定应当到渔政渔港监督管理机关办理签证而未办理签证的，或者在渔港内不服从渔政渔港监督管理机关对水域交通安全秩序管理的，由渔政渔港监督管理机关责令改正，可以并处警告、罚款；情节严重的，扣留或者吊销船长职务</w:t>
      </w:r>
      <w:r>
        <w:rPr>
          <w:rFonts w:hint="eastAsia" w:ascii="仿宋_GB2312" w:hAnsi="仿宋_GB2312" w:eastAsia="仿宋_GB2312" w:cs="仿宋_GB2312"/>
          <w:sz w:val="32"/>
          <w:szCs w:val="32"/>
        </w:rPr>
        <w:t>证书(扣留职务证书时间最长不超过6个月，下同)。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违反本条例规定，有下列行为之一的，由渔政渔港监督管理机关责令停止违法行</w:t>
      </w:r>
      <w:r>
        <w:rPr>
          <w:rFonts w:hint="eastAsia" w:ascii="仿宋_GB2312" w:hAnsi="仿宋_GB2312" w:eastAsia="仿宋_GB2312" w:cs="仿宋_GB2312"/>
          <w:sz w:val="32"/>
          <w:szCs w:val="32"/>
        </w:rPr>
        <w:t>为，可以并处警告、罚款；造成损失的，应当承担赔偿责任；对直接责任人员由其所在单位或者上级主管机关给予行政处分：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(一)未经渔政渔港监督管理机关批准或者未按照批准文件的规定，在渔港内装卸易燃、易爆、有毒等危险货物的；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(二)未经渔政渔港监督管理机关批准，在渔港内新建、改建、</w:t>
      </w:r>
      <w:r>
        <w:rPr>
          <w:rFonts w:ascii="Times New Roman" w:hAnsi="Times New Roman" w:eastAsia="仿宋_GB2312" w:cs="Times New Roman"/>
          <w:sz w:val="32"/>
          <w:szCs w:val="32"/>
        </w:rPr>
        <w:t>扩建各种设施或者进</w:t>
      </w:r>
      <w:r>
        <w:rPr>
          <w:rFonts w:hint="eastAsia" w:ascii="仿宋_GB2312" w:hAnsi="仿宋_GB2312" w:eastAsia="仿宋_GB2312" w:cs="仿宋_GB2312"/>
          <w:sz w:val="32"/>
          <w:szCs w:val="32"/>
        </w:rPr>
        <w:t>行其他水上、水下施工作业的；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(三)在渔港内的航道、港池、锚地和停泊区从事有碍海上交通安全的捕捞、养殖等生产活动的。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违反本条例规定，未持有船舶证书或者未配齐船员的，由渔政渔港监督管理机关责令改正，可以并处罚款。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违反本条例规定，不执行渔政渔港监督管理机关作出的离港、停航、改航、停止作业的决定，或者在执行中违反上述决定的，由渔政渔港监督管理机关责令改正，可以并处警告、罚款；情节严重的，扣留或者吊销船长职务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ascii="Times New Roman" w:hAnsi="Times New Roman" w:eastAsia="仿宋_GB2312" w:cs="Times New Roman"/>
          <w:sz w:val="32"/>
          <w:szCs w:val="32"/>
        </w:rPr>
        <w:t>　当事人对渔政渔港</w:t>
      </w:r>
      <w:r>
        <w:rPr>
          <w:rFonts w:hint="eastAsia" w:ascii="仿宋_GB2312" w:hAnsi="仿宋_GB2312" w:eastAsia="仿宋_GB2312" w:cs="仿宋_GB2312"/>
          <w:sz w:val="32"/>
          <w:szCs w:val="32"/>
        </w:rPr>
        <w:t>监督管理机关作出的行政处罚决定不服的，可以在接到处罚通知之日起15日内向人民法院起诉；期满不起诉又不履行的，由渔政渔港监督管理机关申请人民法院强制执行。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w:t>
      </w:r>
      <w:r>
        <w:rPr>
          <w:rFonts w:ascii="Times New Roman" w:hAnsi="Times New Roman" w:eastAsia="仿宋_GB2312" w:cs="Times New Roman"/>
          <w:sz w:val="32"/>
          <w:szCs w:val="32"/>
        </w:rPr>
        <w:t>　因渔港水域内发生的交通事故或者其他沿海水域发生的渔业船舶之间的交通事故引起的民事纠纷，可以由渔政渔港监督管理机关调解处理；调解不成或者不愿意调解的，当事人可以向人民法院起诉。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ascii="Times New Roman" w:hAnsi="Times New Roman" w:eastAsia="仿宋_GB2312" w:cs="Times New Roman"/>
          <w:sz w:val="32"/>
          <w:szCs w:val="32"/>
        </w:rPr>
        <w:t>　拒绝、阻碍渔政渔港监</w:t>
      </w:r>
      <w:r>
        <w:rPr>
          <w:rFonts w:hint="eastAsia" w:ascii="仿宋_GB2312" w:hAnsi="仿宋_GB2312" w:eastAsia="仿宋_GB2312" w:cs="仿宋_GB2312"/>
          <w:sz w:val="32"/>
          <w:szCs w:val="32"/>
        </w:rPr>
        <w:t>督管理工作人员依法执行公务，应当给予治安管理处罚的，由公安机关依照《中华人民共和国治安管理处罚法》有关规定处罚；构成犯罪的，由司法机关依法追究刑事责任。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w:t>
      </w:r>
      <w:r>
        <w:rPr>
          <w:rFonts w:ascii="Times New Roman" w:hAnsi="Times New Roman" w:eastAsia="仿宋_GB2312" w:cs="Times New Roman"/>
          <w:sz w:val="32"/>
          <w:szCs w:val="32"/>
        </w:rPr>
        <w:t>　渔政渔港监督管理工作人员，在渔港和渔港水域交通安全监督管理工作中，玩忽职守，滥用职权、徇私舞弊的，由其所在单位或者上级主管机关给予行政处分；构成犯罪的，由司法机关依法追究刑事责任。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w:t>
      </w:r>
      <w:r>
        <w:rPr>
          <w:rFonts w:ascii="Times New Roman" w:hAnsi="Times New Roman" w:eastAsia="仿宋_GB2312" w:cs="Times New Roman"/>
          <w:sz w:val="32"/>
          <w:szCs w:val="32"/>
        </w:rPr>
        <w:t>　本条例由农业部负责解释；实施细则由农业部制定。</w:t>
      </w:r>
    </w:p>
    <w:p>
      <w:pPr>
        <w:pStyle w:val="11"/>
        <w:ind w:firstLine="640" w:firstLineChars="200"/>
        <w:rPr>
          <w:rFonts w:hint="eastAsia" w:ascii="仿宋_GB2312" w:hAnsi="仿宋_GB2312" w:eastAsia="仿宋_GB2312" w:cs="仿宋_GB2312"/>
          <w:kern w:val="2"/>
          <w:sz w:val="32"/>
          <w:szCs w:val="32"/>
          <w:lang w:val="en-US" w:eastAsia="zh-CN" w:bidi="ar-SA"/>
        </w:rPr>
      </w:pPr>
      <w:bookmarkStart w:id="0" w:name="_GoBack"/>
      <w:bookmarkEnd w:id="0"/>
      <w:r>
        <w:rPr>
          <w:rFonts w:hint="eastAsia" w:ascii="方正黑体_GBK" w:hAnsi="方正黑体_GBK" w:eastAsia="方正黑体_GBK" w:cs="方正黑体_GBK"/>
          <w:sz w:val="32"/>
          <w:szCs w:val="32"/>
        </w:rPr>
        <w:t>第二十九条</w:t>
      </w:r>
      <w:r>
        <w:rPr>
          <w:rFonts w:ascii="Times New Roman" w:hAnsi="Times New Roman" w:eastAsia="仿宋_GB2312" w:cs="Times New Roman"/>
          <w:sz w:val="32"/>
          <w:szCs w:val="32"/>
        </w:rPr>
        <w:t>　本</w:t>
      </w:r>
      <w:r>
        <w:rPr>
          <w:rFonts w:hint="eastAsia" w:ascii="仿宋_GB2312" w:hAnsi="仿宋_GB2312" w:eastAsia="仿宋_GB2312" w:cs="仿宋_GB2312"/>
          <w:kern w:val="2"/>
          <w:sz w:val="32"/>
          <w:szCs w:val="32"/>
          <w:lang w:val="en-US" w:eastAsia="zh-CN" w:bidi="ar-SA"/>
        </w:rPr>
        <w:t>条例自1989年8月1日起施行。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6A0228E"/>
    <w:rsid w:val="06E72AA9"/>
    <w:rsid w:val="07405EF4"/>
    <w:rsid w:val="0788080A"/>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484CDF"/>
    <w:rsid w:val="155E2CB3"/>
    <w:rsid w:val="157124FD"/>
    <w:rsid w:val="15B17054"/>
    <w:rsid w:val="160A20C3"/>
    <w:rsid w:val="16173655"/>
    <w:rsid w:val="16E85B46"/>
    <w:rsid w:val="174517D7"/>
    <w:rsid w:val="18413C16"/>
    <w:rsid w:val="18971E78"/>
    <w:rsid w:val="18B43502"/>
    <w:rsid w:val="18C776B0"/>
    <w:rsid w:val="198A0A54"/>
    <w:rsid w:val="19DB6C33"/>
    <w:rsid w:val="1A3209E2"/>
    <w:rsid w:val="1A8E3AF5"/>
    <w:rsid w:val="1ABC528A"/>
    <w:rsid w:val="1B2039C2"/>
    <w:rsid w:val="1B256F50"/>
    <w:rsid w:val="1BAF2172"/>
    <w:rsid w:val="1C6F6A7C"/>
    <w:rsid w:val="1C9212F7"/>
    <w:rsid w:val="1D1A78F5"/>
    <w:rsid w:val="1F501AAA"/>
    <w:rsid w:val="1FA75BB5"/>
    <w:rsid w:val="1FE16FBA"/>
    <w:rsid w:val="1FF628F6"/>
    <w:rsid w:val="1FFE59F4"/>
    <w:rsid w:val="206846D2"/>
    <w:rsid w:val="208F14A3"/>
    <w:rsid w:val="2096095A"/>
    <w:rsid w:val="20D86240"/>
    <w:rsid w:val="21CB6604"/>
    <w:rsid w:val="21CE0F2E"/>
    <w:rsid w:val="221D0BEA"/>
    <w:rsid w:val="22DD4281"/>
    <w:rsid w:val="23341BEE"/>
    <w:rsid w:val="253620CC"/>
    <w:rsid w:val="25636DDB"/>
    <w:rsid w:val="25690A08"/>
    <w:rsid w:val="25981EEB"/>
    <w:rsid w:val="25BF3D61"/>
    <w:rsid w:val="25F044FF"/>
    <w:rsid w:val="26A760E3"/>
    <w:rsid w:val="26BD5EFD"/>
    <w:rsid w:val="26C10A61"/>
    <w:rsid w:val="26CA1A3A"/>
    <w:rsid w:val="26D80C65"/>
    <w:rsid w:val="27680A3B"/>
    <w:rsid w:val="278A0CBD"/>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D32E01"/>
    <w:rsid w:val="2F435B16"/>
    <w:rsid w:val="2FF20DF5"/>
    <w:rsid w:val="30824D76"/>
    <w:rsid w:val="30E366F7"/>
    <w:rsid w:val="313E5963"/>
    <w:rsid w:val="318138A8"/>
    <w:rsid w:val="31F05688"/>
    <w:rsid w:val="31F575B2"/>
    <w:rsid w:val="320E2B0A"/>
    <w:rsid w:val="32252208"/>
    <w:rsid w:val="3242780E"/>
    <w:rsid w:val="325E7BE3"/>
    <w:rsid w:val="330624E0"/>
    <w:rsid w:val="330D4027"/>
    <w:rsid w:val="331525BD"/>
    <w:rsid w:val="3330356C"/>
    <w:rsid w:val="33CF5811"/>
    <w:rsid w:val="34031BBE"/>
    <w:rsid w:val="349C60FB"/>
    <w:rsid w:val="34B24EB5"/>
    <w:rsid w:val="34C9780A"/>
    <w:rsid w:val="34DC1FAB"/>
    <w:rsid w:val="34E116C0"/>
    <w:rsid w:val="35095248"/>
    <w:rsid w:val="355560D1"/>
    <w:rsid w:val="35AE4DD0"/>
    <w:rsid w:val="35E26969"/>
    <w:rsid w:val="37BE1588"/>
    <w:rsid w:val="37EB78B4"/>
    <w:rsid w:val="386D21AD"/>
    <w:rsid w:val="387E7233"/>
    <w:rsid w:val="38851898"/>
    <w:rsid w:val="388D0D2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B857FD"/>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A250A3"/>
    <w:rsid w:val="48624C7F"/>
    <w:rsid w:val="48A936DA"/>
    <w:rsid w:val="48AC4D69"/>
    <w:rsid w:val="494B3B16"/>
    <w:rsid w:val="499D1725"/>
    <w:rsid w:val="49C224BB"/>
    <w:rsid w:val="4A4F5FBC"/>
    <w:rsid w:val="4A732A37"/>
    <w:rsid w:val="4B2E2D61"/>
    <w:rsid w:val="4D7C1855"/>
    <w:rsid w:val="4DC87E21"/>
    <w:rsid w:val="4E4E7955"/>
    <w:rsid w:val="4E6576C1"/>
    <w:rsid w:val="4E6A2FDF"/>
    <w:rsid w:val="4E777C22"/>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CD3584"/>
    <w:rsid w:val="5C223266"/>
    <w:rsid w:val="5D0B40ED"/>
    <w:rsid w:val="5D101449"/>
    <w:rsid w:val="5D663F23"/>
    <w:rsid w:val="5DB22BFD"/>
    <w:rsid w:val="5DC97723"/>
    <w:rsid w:val="5DD739B2"/>
    <w:rsid w:val="5E900D37"/>
    <w:rsid w:val="5F5011B7"/>
    <w:rsid w:val="5F575403"/>
    <w:rsid w:val="5F741CFE"/>
    <w:rsid w:val="5F88093C"/>
    <w:rsid w:val="5F927ABC"/>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62C29D0"/>
    <w:rsid w:val="765D4468"/>
    <w:rsid w:val="76635F01"/>
    <w:rsid w:val="76975133"/>
    <w:rsid w:val="769B60FD"/>
    <w:rsid w:val="76C10F77"/>
    <w:rsid w:val="772966DA"/>
    <w:rsid w:val="77D8678E"/>
    <w:rsid w:val="77FF68F3"/>
    <w:rsid w:val="78061DFD"/>
    <w:rsid w:val="7814798C"/>
    <w:rsid w:val="7819740D"/>
    <w:rsid w:val="781E454A"/>
    <w:rsid w:val="789F59B2"/>
    <w:rsid w:val="78E10B53"/>
    <w:rsid w:val="78ED2B64"/>
    <w:rsid w:val="796E7B9B"/>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2612</Words>
  <Characters>2624</Characters>
  <Lines>69</Lines>
  <Paragraphs>19</Paragraphs>
  <TotalTime>1</TotalTime>
  <ScaleCrop>false</ScaleCrop>
  <LinksUpToDate>false</LinksUpToDate>
  <CharactersWithSpaces>2654</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2022-05-21T16:16:15Z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