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902" w:rsidRDefault="00472902">
      <w:pPr>
        <w:pStyle w:val="a4"/>
        <w:jc w:val="center"/>
        <w:rPr>
          <w:rFonts w:asciiTheme="majorEastAsia" w:eastAsiaTheme="majorEastAsia" w:hAnsiTheme="majorEastAsia" w:cstheme="majorEastAsia"/>
          <w:sz w:val="44"/>
          <w:szCs w:val="44"/>
        </w:rPr>
      </w:pPr>
    </w:p>
    <w:p w:rsidR="00472902" w:rsidRDefault="00AA0ED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期货交易管理条例</w:t>
      </w:r>
    </w:p>
    <w:p w:rsidR="00472902" w:rsidRDefault="00472902">
      <w:pPr>
        <w:pStyle w:val="a4"/>
        <w:ind w:firstLineChars="200" w:firstLine="616"/>
        <w:rPr>
          <w:rFonts w:ascii="楷体_GB2312" w:eastAsia="楷体_GB2312" w:hAnsi="楷体_GB2312" w:cs="楷体_GB2312"/>
          <w:spacing w:val="-6"/>
          <w:sz w:val="32"/>
          <w:szCs w:val="32"/>
        </w:rPr>
      </w:pPr>
    </w:p>
    <w:p w:rsidR="00472902" w:rsidRDefault="00AA0ED4">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(2007</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3</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6</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489</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24</w:t>
      </w:r>
      <w:r>
        <w:rPr>
          <w:rFonts w:ascii="楷体_GB2312" w:eastAsia="楷体_GB2312" w:hAnsi="楷体_GB2312" w:cs="楷体_GB2312" w:hint="eastAsia"/>
          <w:sz w:val="32"/>
          <w:szCs w:val="32"/>
        </w:rPr>
        <w:t>日《国务院关于修改〈期货交易管理条例〉的决定》第一次修订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日《国务院关于废止和修改部分行政法规的决定》第二次修订</w:t>
      </w:r>
      <w:r w:rsidR="00D75F08">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日《国务院关于修改部分行政法规的决定》第三次修订</w:t>
      </w:r>
      <w:r>
        <w:rPr>
          <w:rFonts w:ascii="楷体_GB2312" w:eastAsia="楷体_GB2312" w:hAnsi="楷体_GB2312" w:cs="楷体_GB2312" w:hint="eastAsia"/>
          <w:sz w:val="32"/>
          <w:szCs w:val="32"/>
        </w:rPr>
        <w:t>)</w:t>
      </w:r>
    </w:p>
    <w:p w:rsidR="00472902" w:rsidRDefault="00AA0ED4">
      <w:pPr>
        <w:pStyle w:val="2"/>
      </w:pPr>
      <w:r>
        <w:rPr>
          <w:rFonts w:hAnsi="宋体" w:cs="宋体"/>
        </w:rPr>
        <w:t>第一章　总　　则</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为了规范期货交易行为，加强对期货交易的监督管理，维护期货市场秩序，防范风险，保护期货交易各方的合法权益和社会公共利益，促进期货市场积极稳妥发展，制定本条例。</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任何单位和个人从事期货交易及其相关活动，应当遵守本条例。</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本条例所称期货交易，是指采用公开的集中交易方式或者国务院期货监督管理机构批准的其他方式进行的以期货合约或者期权合约为交易标的的交易活动。</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本条例所称期货合约，是指期货交易场所统一制定的、规定在将来某一特定的时间和地点交割一定数量标的物的标准化合</w:t>
      </w:r>
      <w:r>
        <w:rPr>
          <w:rFonts w:ascii="仿宋_GB2312" w:eastAsia="仿宋_GB2312" w:hAnsi="仿宋_GB2312" w:cs="仿宋_GB2312" w:hint="eastAsia"/>
          <w:sz w:val="32"/>
          <w:szCs w:val="32"/>
        </w:rPr>
        <w:lastRenderedPageBreak/>
        <w:t>约。期货合约包括商品期货合约和金融期货合约及</w:t>
      </w:r>
      <w:r>
        <w:rPr>
          <w:rFonts w:ascii="仿宋_GB2312" w:eastAsia="仿宋_GB2312" w:hAnsi="仿宋_GB2312" w:cs="仿宋_GB2312" w:hint="eastAsia"/>
          <w:sz w:val="32"/>
          <w:szCs w:val="32"/>
        </w:rPr>
        <w:t>其他期货合约。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本条例所称期权合约，是指期货交易场所统一制定的、规定买方有权在将来某一时间以特定价格买入或者卖出约定标的物</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包括期货合约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的标准化合约。</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从事期货交易活动，应当遵循公开、公平、公正和诚实信用的原则。禁止欺诈、内幕交易和操纵期货交易价格等违法行为。</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期货交易应当在依照本条例第六条第一款规定设立的期货交易所、国务院批准的或者国务院期货监督管理机构批准的其他期货交易场所进行。</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禁止在前款规定的期货交易场所之外进行期货交易。</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国务院期货监督管理机构对期货市场实行集中统一的监督管理。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国务院期货监督管理机构派出机构依照本条例的有关规定和国务院期货监督管理机构的授权，履行监督管理职责。</w:t>
      </w:r>
    </w:p>
    <w:p w:rsidR="00472902" w:rsidRDefault="00AA0ED4">
      <w:pPr>
        <w:pStyle w:val="2"/>
      </w:pPr>
      <w:r>
        <w:t>第二章　期货交易所</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设立期货交易所，由国务院期货监督管理机构审批。</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未经国务院批准或者国务院期货监督管理机构批准，任何单位或者个人不得设立期货交易场所或者以任何形式组织期货交易及其相关活动。</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期货交易所不以营利为目的，按照其章程的规定实行自律管理。期货交易所以其全部财产承担民事责任。期货交易所的负责人由国务院期货监督管理机构任免。</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w:t>
      </w:r>
      <w:r>
        <w:rPr>
          <w:rFonts w:ascii="仿宋_GB2312" w:eastAsia="仿宋_GB2312" w:hAnsi="仿宋_GB2312" w:cs="仿宋_GB2312" w:hint="eastAsia"/>
          <w:sz w:val="32"/>
          <w:szCs w:val="32"/>
        </w:rPr>
        <w:t>货交易所的管理办法由国务院期货监督管理机构制定。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期货交易所会员应当是在中华人民共和国境内登记注册的企业法人或者其他经济组织。</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期货交易所可以实行会员分级结算制度。实行会员分级结算制度的期货交易所会员由结算会员和非结算会员组成。</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有《中华人民共和国公司法》第一百四十七条规定的情形或者下列情形之一的，不得担任期货交易所的负责人、财务会计人员：</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违法行为或者违纪行为被解除职务的期货交易所、证券交易所、证券登记结算机构的负责人，或者期货公司、证券公司的董事、监事、高级管理人员，以及国务院期货监督管理机构规定的其他人员，自被解除职务之日起未逾</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因违法行为或者违纪行为被撤销资格的律师、注册会计师或者投资咨询机构、财务顾问机构、资信评级机构、资产评估</w:t>
      </w:r>
      <w:r>
        <w:rPr>
          <w:rFonts w:ascii="仿宋_GB2312" w:eastAsia="仿宋_GB2312" w:hAnsi="仿宋_GB2312" w:cs="仿宋_GB2312" w:hint="eastAsia"/>
          <w:sz w:val="32"/>
          <w:szCs w:val="32"/>
        </w:rPr>
        <w:lastRenderedPageBreak/>
        <w:t>机构、验证机构的专业人员，自被撤销资格之日起未逾</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期货交易所应当依照本条例和国务院期货监督管理机构的规定，建立、健全各项规章制度，加强对交易活动的风险控制和对会员以及交易所工作</w:t>
      </w:r>
      <w:r>
        <w:rPr>
          <w:rFonts w:ascii="仿宋_GB2312" w:eastAsia="仿宋_GB2312" w:hAnsi="仿宋_GB2312" w:cs="仿宋_GB2312" w:hint="eastAsia"/>
          <w:sz w:val="32"/>
          <w:szCs w:val="32"/>
        </w:rPr>
        <w:t>人员的监督管理。期货交易所履行下列职责：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提供交易的场所、设施和服务；</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设计合约，安排合约上市；</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组织并监督交易、结算和交割；</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为期货交易提供集中履约担保；</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按照章程和交易规则对会员进行监督管理；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国务院期货监督管理机构规定的其他职责。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期货交易所不得直接或者间接参与期货交易。未经国务院期货监督管理机构审核并报国务院批准，期货交易所不得从事信托投资、股票投资、非自用不动产投资等与其职责无关的业务。</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期货交易所应当按照国家有关规定建立、健全下列风险管理制度：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保证金制度；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当日无负债结算制度；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涨跌停板制度；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持仓限额和大户持仓报告制度；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风险准备金制度；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国务院期货监督管理机构规定的其他风险管理制度。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实行会员分级结算制度的期货交易所，还应当建立、健全结算担保金制度。</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当期货市场出现异常情况时，期货交易所可以按照其章程规定的权限和程序，决定采取下列紧急措施，并应当立即报告国务院期货监督管理机构：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提高保证金；</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调整涨跌停板幅度；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限制会员或者客户的最大持仓量；</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暂时停止交易；</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采取其他紧急</w:t>
      </w:r>
      <w:r>
        <w:rPr>
          <w:rFonts w:ascii="仿宋_GB2312" w:eastAsia="仿宋_GB2312" w:hAnsi="仿宋_GB2312" w:cs="仿宋_GB2312" w:hint="eastAsia"/>
          <w:sz w:val="32"/>
          <w:szCs w:val="32"/>
        </w:rPr>
        <w:t>措施。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前款所称异常情况，是指在交易中发生操纵期货交易价格的行为或者发生不可抗拒的突发事件以及国务院期货监督管理机构规定的其他情形。</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异常情况消失后，期货交易所应当及时取消紧急措施。</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期货交易所办理下列事项，应当经国务院期货监督管理机构批准：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制定或者修改章程、交易规则；</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上市、中止、取消或者恢复交易品种；</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国务院期货监督管理机构规定的其他事项。</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国务院期货监督管理机构批准期货交易所上市新的交易品种，应当征求国务院有关部门的意见。</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期货交易所的所得收益按照国家有关规定管理和使用，但应当首先用于保证期货交易场所、设施的运行和改善。</w:t>
      </w:r>
    </w:p>
    <w:p w:rsidR="00472902" w:rsidRDefault="00AA0ED4">
      <w:pPr>
        <w:pStyle w:val="2"/>
      </w:pPr>
      <w:r>
        <w:t>第三章　期货公司</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期货公司是依照《中华人民共和国公司法》和本条例规定设立的经营期货业务的金融机构。设立期货公司，应当在公司登记机关登记注册，并经国务院期货监督管理机构批准。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未经国务院期货监督管理机构批准，任何单位或者个人不得设立或者变相设立期货公司，经营期货业务。</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申请设立期货公司，应当符合《中华人民共和国公司法》的规定，并具备下列条件：</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注册资本最低限额为人民币</w:t>
      </w:r>
      <w:r>
        <w:rPr>
          <w:rFonts w:ascii="仿宋_GB2312" w:eastAsia="仿宋_GB2312" w:hAnsi="仿宋_GB2312" w:cs="仿宋_GB2312" w:hint="eastAsia"/>
          <w:sz w:val="32"/>
          <w:szCs w:val="32"/>
        </w:rPr>
        <w:t>3000</w:t>
      </w:r>
      <w:r>
        <w:rPr>
          <w:rFonts w:ascii="仿宋_GB2312" w:eastAsia="仿宋_GB2312" w:hAnsi="仿宋_GB2312" w:cs="仿宋_GB2312" w:hint="eastAsia"/>
          <w:sz w:val="32"/>
          <w:szCs w:val="32"/>
        </w:rPr>
        <w:t>万元；</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董事、监事、高级管理人员具备任职条件，从业人员具有期货从业资格；</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有符合法律、行政法规规定的公司章程；</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主要股东以及实际控制人具有持续盈利能力，信誉良好，最近</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年无重大违法违规记录；</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有合格的经营场所和业务设施；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有健全的风险管理和内部控制制度；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国务院期货监督管理机构规定的其他条件。</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国务院期货监督管理机构根据审慎监管原则和各项业务的风险程度，可以提高注册资本最低限额。注册资本应当是实缴资本。股东应当以货币或者期货公司经营必需的非货币财产出资，货币出资比例不得低于</w:t>
      </w:r>
      <w:r>
        <w:rPr>
          <w:rFonts w:ascii="仿宋_GB2312" w:eastAsia="仿宋_GB2312" w:hAnsi="仿宋_GB2312" w:cs="仿宋_GB2312" w:hint="eastAsia"/>
          <w:sz w:val="32"/>
          <w:szCs w:val="32"/>
        </w:rPr>
        <w:t>85%</w:t>
      </w:r>
      <w:r>
        <w:rPr>
          <w:rFonts w:ascii="仿宋_GB2312" w:eastAsia="仿宋_GB2312" w:hAnsi="仿宋_GB2312" w:cs="仿宋_GB2312" w:hint="eastAsia"/>
          <w:sz w:val="32"/>
          <w:szCs w:val="32"/>
        </w:rPr>
        <w:t>。</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国务院期货监督管理机构应当在受理期货公司设立申请之日起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个月内，根据审慎监管原则进行审查，作出批准或者不批准的决定。</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未经国务院期货监督管理机构批准，任何单位和个人不得委托或者接受他人委托持有或者管理期货公司的股权。</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期货公司业务实行许可制度，由国务院期货监督管理机构按照其商品期货、金融期货业务种类颁发许可证。期货公司除申请经营境内期货经纪业务外，还可以申请经营境外期货经纪、期货投资咨询以及国务院期货监督管理机构规定的其他期货业务。</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期货公司不得从事与期货业务无关的活动，法律、行政法规或者国务院</w:t>
      </w:r>
      <w:r>
        <w:rPr>
          <w:rFonts w:ascii="仿宋_GB2312" w:eastAsia="仿宋_GB2312" w:hAnsi="仿宋_GB2312" w:cs="仿宋_GB2312" w:hint="eastAsia"/>
          <w:sz w:val="32"/>
          <w:szCs w:val="32"/>
        </w:rPr>
        <w:t>期货监督管理机构另有规定的除外。</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期货公司不得从事或者变相从事期货自营业务。</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期货公司不得为其股东、实际控制人或者其他关联人提供融资，不得对外担保。</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期货公司从事经纪业务，接受客户委托，以自己的名义为客户进行期货交易，交易结果由客户承担。</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期货公司办理下列事项，应当经国务院期货监督管理机构批准：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合并、分立、停业、解散或者破产；</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变更业务范围；</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变更注册资本且调整股权结构；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新增持有</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以上股权的股东或者控股股东发生变化；</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国务院期货监督管理机构规定的其他事项。</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前款第三项、第五项所列事项，国务院期货监督管理机构应当自受理申请之日起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日内作出批准或者不批准的决定；前款所列其他事项，国务院期货监督管理机构应当自受理申请之日起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个月内作出批准或者不批准的决定。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期货公司或者其分支机构有《中华人民共和国行政许可法》第七十条规定的情形或者下列情形之一的，国务院期货监督管理机构应当依法办理期货业务许可证注销手续：</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营业执照被公司登记机关依法注销；</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成立后无正当理由超过</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个月未开始营业，或者开业后</w:t>
      </w:r>
      <w:r>
        <w:rPr>
          <w:rFonts w:ascii="仿宋_GB2312" w:eastAsia="仿宋_GB2312" w:hAnsi="仿宋_GB2312" w:cs="仿宋_GB2312" w:hint="eastAsia"/>
          <w:sz w:val="32"/>
          <w:szCs w:val="32"/>
        </w:rPr>
        <w:lastRenderedPageBreak/>
        <w:t>无正当理由停</w:t>
      </w:r>
      <w:r>
        <w:rPr>
          <w:rFonts w:ascii="仿宋_GB2312" w:eastAsia="仿宋_GB2312" w:hAnsi="仿宋_GB2312" w:cs="仿宋_GB2312" w:hint="eastAsia"/>
          <w:sz w:val="32"/>
          <w:szCs w:val="32"/>
        </w:rPr>
        <w:t>业连续</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个月以上；</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主动提出注销申请；</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国务院期货监督管理机构规定的其他情形。</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期货公司在注销期货业务许可证前，应当结清相关期货业务，并依法返还客户的保证金和其他资产。期货公司分支机构在注销经营许可证前，应当终止经营活动，妥善处理客户资产。</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期货公司应当建立、健全并严格执行业务管理规则、风险管理制度，遵守信息披露制度，保障客户保证金的存管安全，按照期货交易所的规定，向期货交易所报告大户名单、交易情况。</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从事期货投资咨询业务的其他期货经营机构应当取得国务院期货监督管理机构批准的业务资格，具体管理办法由国务院期货监督管理机构制定。</w:t>
      </w:r>
    </w:p>
    <w:p w:rsidR="00472902" w:rsidRDefault="00AA0ED4">
      <w:pPr>
        <w:pStyle w:val="2"/>
      </w:pPr>
      <w:r>
        <w:t>第四章　期货交易基本规则</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在期货交易所进行期货交易的，应当是期货交易所会员。</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符合规定条件的境外机构，可以在期货交易所从事特定品种的期货交易。具体办法由国务院期货监督管理机构制定。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期货公司接受客户委托为其进行期货交易，应</w:t>
      </w:r>
      <w:r>
        <w:rPr>
          <w:rFonts w:ascii="仿宋_GB2312" w:eastAsia="仿宋_GB2312" w:hAnsi="仿宋_GB2312" w:cs="仿宋_GB2312" w:hint="eastAsia"/>
          <w:sz w:val="32"/>
          <w:szCs w:val="32"/>
        </w:rPr>
        <w:lastRenderedPageBreak/>
        <w:t>当事先向客户出示风险说明书，经客户签字确认后，与客户签订书面合同。期货公司不得未经客户委托或者不按照客户委托内容，擅自进行期货交易。</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w:t>
      </w:r>
      <w:r>
        <w:rPr>
          <w:rFonts w:ascii="仿宋_GB2312" w:eastAsia="仿宋_GB2312" w:hAnsi="仿宋_GB2312" w:cs="仿宋_GB2312" w:hint="eastAsia"/>
          <w:sz w:val="32"/>
          <w:szCs w:val="32"/>
        </w:rPr>
        <w:t>公司不得向客户作获利保证；不得在经纪业务中与客户约定分享利益或者共担风险。</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下列单位和个人不得从事期货交易，期货公司不得接受其委托为其进行期货交易：</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国家机关和事业单位；</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国务院期货监督管理机构、期货交易所、期货保证金安全存管监控机构和期货业协会的工作人员；</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证券、期货市场禁止进入者；</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未能提供开户证明材料的单位和个人；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国务院期货监督管理机构规定不得从事期货交易的其他单位和个人。</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客户可以通过书面、电话、互联网或者国务院期货监督管理机构规定的其他方式，</w:t>
      </w:r>
      <w:r>
        <w:rPr>
          <w:rFonts w:ascii="仿宋_GB2312" w:eastAsia="仿宋_GB2312" w:hAnsi="仿宋_GB2312" w:cs="仿宋_GB2312" w:hint="eastAsia"/>
          <w:sz w:val="32"/>
          <w:szCs w:val="32"/>
        </w:rPr>
        <w:t>向期货公司下达交易指令。客户的交易指令应当明确、全面。</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期货公司不得隐瞒重要事项或者使用其他不正当手段诱骗客户发出交易指令。</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期货交易所应当及时公布上市品种合约的成</w:t>
      </w:r>
      <w:r>
        <w:rPr>
          <w:rFonts w:ascii="仿宋_GB2312" w:eastAsia="仿宋_GB2312" w:hAnsi="仿宋_GB2312" w:cs="仿宋_GB2312" w:hint="eastAsia"/>
          <w:sz w:val="32"/>
          <w:szCs w:val="32"/>
        </w:rPr>
        <w:lastRenderedPageBreak/>
        <w:t>交量、成交价、持仓量、最高价与最低价、开盘价与收盘价和其他应当公布的即时行情，并保证即时行情的真实、准确。期货交易所不得发布价格预测信息。</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未经期货交易所许可，任何单位和个人不得发布期货交易即时行情。</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期货交易应当严格执行保证金制度。期货交易所向会员、期货公司向客户收取的保证金，不得低于国务院期货监督管理机构、期货交易所规</w:t>
      </w:r>
      <w:r>
        <w:rPr>
          <w:rFonts w:ascii="仿宋_GB2312" w:eastAsia="仿宋_GB2312" w:hAnsi="仿宋_GB2312" w:cs="仿宋_GB2312" w:hint="eastAsia"/>
          <w:sz w:val="32"/>
          <w:szCs w:val="32"/>
        </w:rPr>
        <w:t>定的标准，并应当与自有资金分开，专户存放。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期货交易所向会员收取的保证金，属于会员所有，除用于会员的交易结算外，严禁挪作他用。</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期货公司向客户收取的保证金，属于客户所有，除下列可划转的情形外，严禁挪作他用：</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依据客户的要求支付可用资金；</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为客户交存保证金，支付手续费、税款；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国务院期货监督管理机构规定的其他情形。</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期货公司应当为每一个客户单独开立专门账户、设置交易编码，不得混码交易。</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期货公司经营期货经纪业务又同时经营其他期</w:t>
      </w:r>
      <w:r>
        <w:rPr>
          <w:rFonts w:ascii="仿宋_GB2312" w:eastAsia="仿宋_GB2312" w:hAnsi="仿宋_GB2312" w:cs="仿宋_GB2312" w:hint="eastAsia"/>
          <w:spacing w:val="-6"/>
          <w:sz w:val="32"/>
          <w:szCs w:val="32"/>
        </w:rPr>
        <w:t>货业务的，应当严格执行业务分离和资金分离制度，不得混合操</w:t>
      </w:r>
      <w:r>
        <w:rPr>
          <w:rFonts w:ascii="仿宋_GB2312" w:eastAsia="仿宋_GB2312" w:hAnsi="仿宋_GB2312" w:cs="仿宋_GB2312" w:hint="eastAsia"/>
          <w:sz w:val="32"/>
          <w:szCs w:val="32"/>
        </w:rPr>
        <w:t>作。</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第三十一条　</w:t>
      </w:r>
      <w:r>
        <w:rPr>
          <w:rFonts w:ascii="仿宋_GB2312" w:eastAsia="仿宋_GB2312" w:hAnsi="仿宋_GB2312" w:cs="仿宋_GB2312" w:hint="eastAsia"/>
          <w:sz w:val="32"/>
          <w:szCs w:val="32"/>
        </w:rPr>
        <w:t>期货交易所、期货公司、非期货公司结算会员应当按照国务院期货监督管理机构、财政部门的规定提取、管理和使用风险准备金，不得挪用。</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期货交易的收费项目、收费标准和管理办法由国务院有关主管部门统一制定并公布。</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期货交易的结算，由期货交易所统一组织进行。</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期货交易所实行当日无负债结算制度。期货交易所应当在当日及时将结算结果通知会员。</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期货公司根据期货交易所的结算结果对客户进行结算，并应当将结算结果按照与客户约定的方式及时</w:t>
      </w:r>
      <w:r>
        <w:rPr>
          <w:rFonts w:ascii="仿宋_GB2312" w:eastAsia="仿宋_GB2312" w:hAnsi="仿宋_GB2312" w:cs="仿宋_GB2312" w:hint="eastAsia"/>
          <w:sz w:val="32"/>
          <w:szCs w:val="32"/>
        </w:rPr>
        <w:t>通知客户。客户应当及时查询并妥善处理自己的交易持仓。</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期货交易所会员的保证金不足时，应当及时追加保证金或者自行平仓。会员未在期货交易所规定的时间内追加保证金或者自行平仓的，期货交易所应当将该会员的合约强行平仓，强行平仓的有关费用和发生的损失由该会员承担。</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客户保证金不足时，应当及时追加保证金或者自行平仓。客户未在期货公司规定的时间内及时追加保证金或者自行平仓的，期货公司应当将该客户的合约强行平仓，强行平仓的有关费用和发生的损失由该客户承担。</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第三十五条　</w:t>
      </w:r>
      <w:r>
        <w:rPr>
          <w:rFonts w:ascii="仿宋_GB2312" w:eastAsia="仿宋_GB2312" w:hAnsi="仿宋_GB2312" w:cs="仿宋_GB2312" w:hint="eastAsia"/>
          <w:sz w:val="32"/>
          <w:szCs w:val="32"/>
        </w:rPr>
        <w:t>期货交易的交割，由期货交易所统一组织进行。</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交割仓库由期货交易所指定。期货交易所不得限制实物交割总量，并应当与交割仓库签订协议，明确双方的权利和义务。交割仓库不得有下列行为：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出具虚假仓单；</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违反期货交易所业务规则，限制交割商品的入库、出库；</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泄露与期货交易有关的商业秘密；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违反国家有关规定参与期货交易；</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国务院期货监督管理机构规定的其他行为。</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会员在期货交易中违约的，期货交易所先以该会员的保证金承担违约责任；保证金不足的，期货交易所应当以风险准备金和自有资金代为承担违约责任，并由此取得对该会员的相应追偿权</w:t>
      </w:r>
      <w:r>
        <w:rPr>
          <w:rFonts w:ascii="仿宋_GB2312" w:eastAsia="仿宋_GB2312" w:hAnsi="仿宋_GB2312" w:cs="仿宋_GB2312" w:hint="eastAsia"/>
          <w:sz w:val="32"/>
          <w:szCs w:val="32"/>
        </w:rPr>
        <w:t>。</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客户在期货交易中违约的，期货公司先以该客户的保证金承担违约责任；保证金不足的，期货公司应当以风险准备金和自有资金代为承担违约责任，并由此取得对该客户的相应追偿权。</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实行会员分级结算制度的期货交易所，应当向结算会员收取结算担保金。期货交易所只对结算会员结算，收取和追收保证金，以结算担保金、风险准备金、自有资金代为承担</w:t>
      </w:r>
      <w:r>
        <w:rPr>
          <w:rFonts w:ascii="仿宋_GB2312" w:eastAsia="仿宋_GB2312" w:hAnsi="仿宋_GB2312" w:cs="仿宋_GB2312" w:hint="eastAsia"/>
          <w:sz w:val="32"/>
          <w:szCs w:val="32"/>
        </w:rPr>
        <w:lastRenderedPageBreak/>
        <w:t>违约责任，以及采取其他相关措施；对非结算会员的结算、收取和追收保证金、代为承担违约责任，以及采取其他相关措施，由结算会员执行。</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期货交易所、期货公司和非期货公司结算会员</w:t>
      </w:r>
      <w:r>
        <w:rPr>
          <w:rFonts w:ascii="仿宋_GB2312" w:eastAsia="仿宋_GB2312" w:hAnsi="仿宋_GB2312" w:cs="仿宋_GB2312" w:hint="eastAsia"/>
          <w:sz w:val="32"/>
          <w:szCs w:val="32"/>
        </w:rPr>
        <w:t>应当保证期货交易、结算、交割资料的完整和安全。</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任何单位或者个人不得编造、传播有关期货交易的虚假信息，不得恶意串通、联手买卖或者以其他方式操纵期货交易价格。</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任何单位或者个人不得违规使用信贷资金、财政资金进行期货交易。</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银行业金融机构从事期货交易融资或者担保业务的资格，由国务院银行业监督管理机构批准。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国有以及国有控股企业进行境内外期货交易，应当遵循套期保值的原则，严格遵守国务院国有资产监督管理机构以及其他有关部门关于企业以国有资产进入期货市场的有关规定。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境外期货项下购汇、结汇以及外汇收支，应当符合国家外汇管理有关规定。</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境内单位或者个人从事境外期货交易的办法，由国务院期货监督管理机构会同国务院商务主管部门、国有资产监督管理机</w:t>
      </w:r>
      <w:r>
        <w:rPr>
          <w:rFonts w:ascii="仿宋_GB2312" w:eastAsia="仿宋_GB2312" w:hAnsi="仿宋_GB2312" w:cs="仿宋_GB2312" w:hint="eastAsia"/>
          <w:sz w:val="32"/>
          <w:szCs w:val="32"/>
        </w:rPr>
        <w:lastRenderedPageBreak/>
        <w:t>构、银行业监督管理机构、外汇管理部门等有关部门制订，报国务院批准后施行。</w:t>
      </w:r>
    </w:p>
    <w:p w:rsidR="00472902" w:rsidRDefault="00AA0ED4">
      <w:pPr>
        <w:pStyle w:val="2"/>
      </w:pPr>
      <w:r>
        <w:t>第五章　期货业协会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期货业协会是期货业的自律性组织，是社会团体法人。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期货公司以及其他专门从事期货经营的机构应当加入期货业协会，并缴纳会员费。</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期货业协会的权力机构为全体会员组成的会员大会。</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期货业协会的章程由会员大会制定，并报国务院期货监</w:t>
      </w:r>
      <w:r>
        <w:rPr>
          <w:rFonts w:ascii="仿宋_GB2312" w:eastAsia="仿宋_GB2312" w:hAnsi="仿宋_GB2312" w:cs="仿宋_GB2312" w:hint="eastAsia"/>
          <w:sz w:val="32"/>
          <w:szCs w:val="32"/>
        </w:rPr>
        <w:t>督管理机构备案。</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期货业协会设理事会。理事会成员按照章程的规定选举产生。</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期货业协会履行下列职责：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教育和组织会员遵守期货法律法规和政策；</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制定会员应当遵守的行业自律性规则，监督、检查会员行为，对违反协会章程和自律性规则的，按照规定给予纪律处分；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负责期货从业人员资格的认定、管理以及撤销工作；</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受理客户与期货业务有关的投诉，对会员之间、会员与</w:t>
      </w:r>
      <w:r>
        <w:rPr>
          <w:rFonts w:ascii="仿宋_GB2312" w:eastAsia="仿宋_GB2312" w:hAnsi="仿宋_GB2312" w:cs="仿宋_GB2312" w:hint="eastAsia"/>
          <w:sz w:val="32"/>
          <w:szCs w:val="32"/>
        </w:rPr>
        <w:lastRenderedPageBreak/>
        <w:t>客户之间发生的纠纷进行调解；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依法维护会员的合法权益，向国务院期货监督管理机构反映会员的建议和要求；</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组织期货从业人员的</w:t>
      </w:r>
      <w:r>
        <w:rPr>
          <w:rFonts w:ascii="仿宋_GB2312" w:eastAsia="仿宋_GB2312" w:hAnsi="仿宋_GB2312" w:cs="仿宋_GB2312" w:hint="eastAsia"/>
          <w:sz w:val="32"/>
          <w:szCs w:val="32"/>
        </w:rPr>
        <w:t>业务培训，开展会员间的业务交流；</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组织会员就期货业的发展、运作以及有关内容进行研究；</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期货业协会章程规定的其他职责。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期货业协会的业务活动应当接受国务院期货监督管理机构的指导和监督。</w:t>
      </w:r>
    </w:p>
    <w:p w:rsidR="00472902" w:rsidRDefault="00AA0ED4">
      <w:pPr>
        <w:pStyle w:val="2"/>
      </w:pPr>
      <w:r>
        <w:t>第六章　监督管理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国务院期货监督管理机构对期货市场实施监督管理，依法履行下列职责：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制定有关期货市场监督管理的规章、规则，并依法行使审批权；</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对品种的上市、交易、结算、交割等期货交易及其相关活动，进行监督管理；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对期货交易所、期货公司及其他期货经营机构、非期货公司结算会员、期货保证金安全存管监控机构、期货保证金存管</w:t>
      </w:r>
      <w:r>
        <w:rPr>
          <w:rFonts w:ascii="仿宋_GB2312" w:eastAsia="仿宋_GB2312" w:hAnsi="仿宋_GB2312" w:cs="仿宋_GB2312" w:hint="eastAsia"/>
          <w:sz w:val="32"/>
          <w:szCs w:val="32"/>
        </w:rPr>
        <w:lastRenderedPageBreak/>
        <w:t>银行、交割仓库等市场相关参与者的期货业务活动，进行监督管理；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制定期货从业人员的资格标准和管理办法，并监督实施；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监督检查期货交易的信息公开情况；</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对期货业协会的活动进行指导和监督；</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对违反期货市场监督管理法律、行政法规的行为进行查处；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开展与期货市场监督管理有关的国际交流、合作活动；</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法律、行政法规规定的其他职责。</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国务院期货监督管理机构依法履行职责，可以采取下列措施：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对期货交易所、期货公司及其他期货经营机构、非期货公司结算会员、期货保证金安全存管监控机构和交割仓库进行现场检查；</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进入涉嫌违法行为发生场所调查取证；</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询问当事人和与被调查事件有关的单位和个人，要求其对与被调查事件有关的事项作出说明；</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查阅、复制与被调查事件有关的财产权登记等资料；</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查阅、复制当事人和与被调查事件有关的单位和个人的</w:t>
      </w:r>
      <w:r>
        <w:rPr>
          <w:rFonts w:ascii="仿宋_GB2312" w:eastAsia="仿宋_GB2312" w:hAnsi="仿宋_GB2312" w:cs="仿宋_GB2312" w:hint="eastAsia"/>
          <w:sz w:val="32"/>
          <w:szCs w:val="32"/>
        </w:rPr>
        <w:lastRenderedPageBreak/>
        <w:t>期货交易记录、财务会计资料以及其他相关文件和资料；对可能被转移、隐匿或者毁损的文件和资料，可以予</w:t>
      </w:r>
      <w:r>
        <w:rPr>
          <w:rFonts w:ascii="仿宋_GB2312" w:eastAsia="仿宋_GB2312" w:hAnsi="仿宋_GB2312" w:cs="仿宋_GB2312" w:hint="eastAsia"/>
          <w:sz w:val="32"/>
          <w:szCs w:val="32"/>
        </w:rPr>
        <w:t>以封存；</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查询与被调查事件有关的单位的保证金账户和银行账户；</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在调查操纵期货交易价格、内幕交易等重大期货违法行为时，经国务院期货监督管理机构主要负责人批准，可以限制被调查事件当事人的期货交易，但限制的时间不得超过</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个交易日；案情复杂的，可以延长至</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个交易日；</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法律、行政法规规定的其他措施。</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期货交易所、期货公司及其他期货经营机构、期货保证金安全存管监控机构，应当向国务院期货监督管理机构报送财务会计报告、业务资料和其他有关资料。</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对期货公司及其他期货经营机构报送的年度报告，国</w:t>
      </w:r>
      <w:r>
        <w:rPr>
          <w:rFonts w:ascii="仿宋_GB2312" w:eastAsia="仿宋_GB2312" w:hAnsi="仿宋_GB2312" w:cs="仿宋_GB2312" w:hint="eastAsia"/>
          <w:sz w:val="32"/>
          <w:szCs w:val="32"/>
        </w:rPr>
        <w:t>务院期货监督管理机构应当指定专人进行审核，并制作审核报告。审核人员应当在审核报告上签字。审核中发现问题的，国务院期货监督管理机构应当及时采取相应措施。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必要时，国务院期货监督管理机构可以要求非期货公司结算会员、交割仓库，以及期货公司股东、实际控制人或者其他关联人报送相关资料。</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国务院期货监督管理机构依法履行职责，进行</w:t>
      </w:r>
      <w:r>
        <w:rPr>
          <w:rFonts w:ascii="仿宋_GB2312" w:eastAsia="仿宋_GB2312" w:hAnsi="仿宋_GB2312" w:cs="仿宋_GB2312" w:hint="eastAsia"/>
          <w:sz w:val="32"/>
          <w:szCs w:val="32"/>
        </w:rPr>
        <w:lastRenderedPageBreak/>
        <w:t>监督检查或者调查时，被检查、调查的单位和个人应当配合，如实提供有关文件和资料，不得拒绝、阻碍和隐瞒；其他有关部门和单位应当给予支持和配合。</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国家根据期货市场发展的需要，设立</w:t>
      </w:r>
      <w:r>
        <w:rPr>
          <w:rFonts w:ascii="仿宋_GB2312" w:eastAsia="仿宋_GB2312" w:hAnsi="仿宋_GB2312" w:cs="仿宋_GB2312" w:hint="eastAsia"/>
          <w:sz w:val="32"/>
          <w:szCs w:val="32"/>
        </w:rPr>
        <w:t>期货投资者保障基金。</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期货投资者保障基金的筹集、管理和使用的具体办法，由国务院期货监督管理机构会同国务院财政部门制定。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国务院期货监督管理机构应当建立、健全保证金安全存管监控制度，设立期货保证金安全存管监控机构。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客户和期货交易所、期货公司及其他期货经营机构、非期货公司结算会员以及期货保证金存管银行，应当遵守国务院期货监督管理机构有关保证金安全存管监控的规定。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期货保证金安全存管监控机构依照有关规定对保证金安全实施监控，进行每日稽核，发现问题应当立即报告国务院期货监督管理机构。国务院</w:t>
      </w:r>
      <w:r>
        <w:rPr>
          <w:rFonts w:ascii="仿宋_GB2312" w:eastAsia="仿宋_GB2312" w:hAnsi="仿宋_GB2312" w:cs="仿宋_GB2312" w:hint="eastAsia"/>
          <w:sz w:val="32"/>
          <w:szCs w:val="32"/>
        </w:rPr>
        <w:t>期货监督管理机构应当根据不同情况，依照本条例有关规定及时处理。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国务院期货监督管理机构对期货交易所和期货保证金安全存管监控机构的董事、监事、高级管理人员，实行资格管理制度。</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国务院期货监督管理机构应当制定期货公司</w:t>
      </w:r>
      <w:r>
        <w:rPr>
          <w:rFonts w:ascii="仿宋_GB2312" w:eastAsia="仿宋_GB2312" w:hAnsi="仿宋_GB2312" w:cs="仿宋_GB2312" w:hint="eastAsia"/>
          <w:sz w:val="32"/>
          <w:szCs w:val="32"/>
        </w:rPr>
        <w:lastRenderedPageBreak/>
        <w:t>持续性经营规则，对期货公司的净资本与净资产的比例，净资本与境内期货经纪、境外期货经纪等业务规模的比例，流动资产与流动负债的比例等风险监管指标作出规定；对期货公司及其分支机构的经营条件、风险管理、内部控制、保证金存管、关联交易等方面提出要求。</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期货公司及其分支机构不</w:t>
      </w:r>
      <w:r>
        <w:rPr>
          <w:rFonts w:ascii="仿宋_GB2312" w:eastAsia="仿宋_GB2312" w:hAnsi="仿宋_GB2312" w:cs="仿宋_GB2312" w:hint="eastAsia"/>
          <w:sz w:val="32"/>
          <w:szCs w:val="32"/>
        </w:rPr>
        <w:t>符合持续性经营规则或者出现经营风险的，国务院期货监督管理机构可以对期货公司及其董事、监事和高级管理人员采取谈话、提示、记入信用记录等监管措施或者责令期货公司限期整改，并对其整改情况进行检查验收。</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期货公司逾期未改正，其行为严重危及期货公司的稳健运行、损害客户合法权益，或者涉嫌严重违法违规正在被国务院期货监督管理机构调查的，国务院期货监督管理机构可以区别情形，对其采取下列措施：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限制或者暂停部分期货业务；</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停止批准新增业务；</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限制分配红利，限制向董事、监事、高级管理人员支付报酬、提供福利；</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限制转让财产或者在财产上设定其他权利；</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责令更换董事、监事、高级管理人员或者有关业务部门、</w:t>
      </w:r>
      <w:r>
        <w:rPr>
          <w:rFonts w:ascii="仿宋_GB2312" w:eastAsia="仿宋_GB2312" w:hAnsi="仿宋_GB2312" w:cs="仿宋_GB2312" w:hint="eastAsia"/>
          <w:sz w:val="32"/>
          <w:szCs w:val="32"/>
        </w:rPr>
        <w:lastRenderedPageBreak/>
        <w:t>分支机构的负责人员，或者限制其权利；</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限制期货公司自有资金或者风险准备金的调拨和使用；</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责令控股股东转让股权或者限制有关股东行使股东权利。</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对经过整改符合有关法律、行政法规规定以及持续性经营规则要求的期货公司，国务院期货监督管理机构应当自验收完毕之日起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日内解除对其采取的有关措施。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对经过整改仍未达到持续性经营规则要求，严重影响正常经营的期货公司，国务院期货监督管理机构有权撤销其部分或者全部期货业务许可、关闭其分支机构。</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期货公司违法经营或者出现重大风险，严重危害期货市场秩序、损害客户利益的，国务院期货监督管理机构可以对该期货公司采取责令停业整顿、指定其他机构托管或者接管等监管措施。经国务院期货监督管理机构批准，可以对该期货公司直接负责的董事、监事、高级管理人员和其他直接责任人员采取以下措施：</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通知出境管理机关依法阻止其出境；</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申请司法机关禁止其转移、转让或者以</w:t>
      </w:r>
      <w:r>
        <w:rPr>
          <w:rFonts w:ascii="仿宋_GB2312" w:eastAsia="仿宋_GB2312" w:hAnsi="仿宋_GB2312" w:cs="仿宋_GB2312" w:hint="eastAsia"/>
          <w:sz w:val="32"/>
          <w:szCs w:val="32"/>
        </w:rPr>
        <w:t>其他方式处分财产，或者在财产上设定其他权利。</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期货公司的股东有虚假出资或者抽逃出资行</w:t>
      </w:r>
      <w:r>
        <w:rPr>
          <w:rFonts w:ascii="仿宋_GB2312" w:eastAsia="仿宋_GB2312" w:hAnsi="仿宋_GB2312" w:cs="仿宋_GB2312" w:hint="eastAsia"/>
          <w:sz w:val="32"/>
          <w:szCs w:val="32"/>
        </w:rPr>
        <w:lastRenderedPageBreak/>
        <w:t>为的，国务院期货监督管理机构应当责令其限期改正，并可责令其转让所持期货公司的股权。</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在股东按照前款要求改正违法行为、转让所持期货公司的股权前，国务院期货监督管理机构可以限制其股东权利。</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当期货市场出现异常情况时，国务院期货监督管理机构可以采取必要的风险处置措施。</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期货公司的交易软件、结算软件，应当满足期货公司审慎经营和风险管理以及国务院期货监督管理机构有关保证金安全存管监控规定的要求。期货</w:t>
      </w:r>
      <w:r>
        <w:rPr>
          <w:rFonts w:ascii="仿宋_GB2312" w:eastAsia="仿宋_GB2312" w:hAnsi="仿宋_GB2312" w:cs="仿宋_GB2312" w:hint="eastAsia"/>
          <w:sz w:val="32"/>
          <w:szCs w:val="32"/>
        </w:rPr>
        <w:t>公司的交易软件、结算软件不符合要求的，国务院期货监督管理机构有权要求期货公司予以改进或者更换。</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国务院期货监督管理机构可以要求期货公司的交易软件、结算软件的供应商提供该软件的相关资料，供应商应当予以配合。国务院期货监督管理机构对供应商提供的相关资料负有保密义务。</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期货公司涉及重大诉讼、仲裁，或者股权被冻结或者用于担保，以及发生其他重大事件时，期货公司及其相关股东、实际控制人应当自该事件发生之日起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日内向国务院期货监督管理机构提交书面报告。</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会计师事务所、律师事务所、资产评估机构等</w:t>
      </w:r>
      <w:r>
        <w:rPr>
          <w:rFonts w:ascii="仿宋_GB2312" w:eastAsia="仿宋_GB2312" w:hAnsi="仿宋_GB2312" w:cs="仿宋_GB2312" w:hint="eastAsia"/>
          <w:sz w:val="32"/>
          <w:szCs w:val="32"/>
        </w:rPr>
        <w:lastRenderedPageBreak/>
        <w:t>中介服</w:t>
      </w:r>
      <w:r>
        <w:rPr>
          <w:rFonts w:ascii="仿宋_GB2312" w:eastAsia="仿宋_GB2312" w:hAnsi="仿宋_GB2312" w:cs="仿宋_GB2312" w:hint="eastAsia"/>
          <w:sz w:val="32"/>
          <w:szCs w:val="32"/>
        </w:rPr>
        <w:t>务机构向期货交易所和期货公司等市场相关参与者提供相关服务时，应当遵守期货法律、行政法规以及国家有关规定，并按照国务院期货监督管理机构的要求提供相关资料。</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国务院期货监督管理机构应当与有关部门建立监督管理的信息共享和协调配合机制。</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国务院期货监督管理机构可以和其他国家或者地区的期货监督管理机构建立监督管理合作机制，实施跨境监督管理。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国务院期货监督管理机构、期货交易所、期货保证金安全存管监控机构和期货保证金存管银行等相关单位的工作人员，应当忠于职守，依法办事，公正廉洁，保守国家秘密和有</w:t>
      </w:r>
      <w:r>
        <w:rPr>
          <w:rFonts w:ascii="仿宋_GB2312" w:eastAsia="仿宋_GB2312" w:hAnsi="仿宋_GB2312" w:cs="仿宋_GB2312" w:hint="eastAsia"/>
          <w:sz w:val="32"/>
          <w:szCs w:val="32"/>
        </w:rPr>
        <w:t>关当事人的商业秘密，不得利用职务便利牟取不正当的利益。</w:t>
      </w:r>
    </w:p>
    <w:p w:rsidR="00472902" w:rsidRDefault="00AA0ED4">
      <w:pPr>
        <w:pStyle w:val="2"/>
      </w:pPr>
      <w:r>
        <w:t>第七章　法律责任</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期货交易所、非期货公司结算会员有下列行为之一的，责令改正，给予警告，没收违法所得：</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违反规定接纳会员的；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违反规定收取手续费的；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违反规定使用、分配收益的；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pacing w:val="-6"/>
          <w:sz w:val="32"/>
          <w:szCs w:val="32"/>
        </w:rPr>
        <w:t>不按照规定公布即时行情的，或者发布价格预测信息</w:t>
      </w:r>
      <w:r>
        <w:rPr>
          <w:rFonts w:ascii="仿宋_GB2312" w:eastAsia="仿宋_GB2312" w:hAnsi="仿宋_GB2312" w:cs="仿宋_GB2312" w:hint="eastAsia"/>
          <w:sz w:val="32"/>
          <w:szCs w:val="32"/>
        </w:rPr>
        <w:t>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不按照规定向国务院期货监督管理机构履行报告义务的；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不按照规定向国务院期货监督管理机构报送有关文件、资料的；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不按照规定建立、健全结算担保金制度的；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不按照规定提取、管</w:t>
      </w:r>
      <w:r>
        <w:rPr>
          <w:rFonts w:ascii="仿宋_GB2312" w:eastAsia="仿宋_GB2312" w:hAnsi="仿宋_GB2312" w:cs="仿宋_GB2312" w:hint="eastAsia"/>
          <w:sz w:val="32"/>
          <w:szCs w:val="32"/>
        </w:rPr>
        <w:t>理和使用风险准备金的；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违反国务院期货监督管理机构有关保证金安全存管监控规定的；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限制会员实物交割总量的；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任用不具备资格的期货从业人员的；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违反国务院期货监督管理机构规定的其他行为。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有前款所列行为之一的，对直接负责的主管人员和其他直接责任人员给予纪律处分，处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有本条第一款第二项所列行为的，应当责令退还多收取的手续费。</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保证金安全存管监控机构有本条第一款第五项、第六项、第九项、第十一项、第十二项所列行为的，依照本条第一款、第二款的规定处罚、处分。期货保证金存管银行有本条第一款第九项、第十二项所列行为的，依照本条第一款、第二款的规定处罚、处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第六十五条　</w:t>
      </w:r>
      <w:r>
        <w:rPr>
          <w:rFonts w:ascii="仿宋_GB2312" w:eastAsia="仿宋_GB2312" w:hAnsi="仿宋_GB2312" w:cs="仿宋_GB2312" w:hint="eastAsia"/>
          <w:sz w:val="32"/>
          <w:szCs w:val="32"/>
        </w:rPr>
        <w:t>期货交易所有下列行为之一的，责令改正，给予警告，没收违法所得，并处违法所得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万元以下的罚款；情节严重的，责令停业整顿：</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未经批准，擅自办理本条例第十三条所列事项的；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允许会员</w:t>
      </w:r>
      <w:r>
        <w:rPr>
          <w:rFonts w:ascii="仿宋_GB2312" w:eastAsia="仿宋_GB2312" w:hAnsi="仿宋_GB2312" w:cs="仿宋_GB2312" w:hint="eastAsia"/>
          <w:sz w:val="32"/>
          <w:szCs w:val="32"/>
        </w:rPr>
        <w:t>在保证金不足的情况下进行期货交易的；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直接或者间接参与期货交易，或者违反规定从事与其职责无关的业务的；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违反规定收取保证金，或者挪用保证金的；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伪造、涂改或者不按照规定保存期货交易、结算、交割资料的；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未建立或者未执行当日无负债结算、涨跌停板、持仓限额和大户持仓报告制度的；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拒绝或者妨碍国务院期货监督管理机构监督检查的；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违反国务院期货监督管理机构规定的其他行为。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有前款所列行为之一的，对直接负责的主管人员和其他直接责任人员给予纪律处分，处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非期货公司结算会员有本条第一款第二项、第四项至第八项所列行为之一的，依照本条第一款、第二款的规定处罚、处分。</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期货保证金安全存管监控机构有本条第一款第三项、第七</w:t>
      </w:r>
      <w:r>
        <w:rPr>
          <w:rFonts w:ascii="仿宋_GB2312" w:eastAsia="仿宋_GB2312" w:hAnsi="仿宋_GB2312" w:cs="仿宋_GB2312" w:hint="eastAsia"/>
          <w:sz w:val="32"/>
          <w:szCs w:val="32"/>
        </w:rPr>
        <w:lastRenderedPageBreak/>
        <w:t>项、第八项所列行为的，依照本条第一款、第二款的规定处罚、处分。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期货公司有下列行为之一的，责令改正，给予警告，没收违法所得，并处违法所得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万元以下的罚款；情节严重的，责令停业整顿或者吊销期货业务许可证：</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接受不符合规定条件的单位或者个人委托的；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允许客户在保证金不足的情况下进行期货交易的；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未经批准，擅自办理本条例第十九条所列事项的；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违反规定从事与期货业务无关的活动的；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从事或者变相从事期货自营业务的；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为其股东、实际控制人或者其他关联人提供融资，或者对外担保的；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违反国务院期货监督管理机构有关保证金安全存管监控规定的；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不按照规定向国务院期货监督管理机构履行报告义务或者报送有关文件、资料的；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交易软件、结算软件不符合期货公司审慎经营和风险管理以及国务院期货监督管理机构有关保证金安全存管监控规定</w:t>
      </w:r>
      <w:r>
        <w:rPr>
          <w:rFonts w:ascii="仿宋_GB2312" w:eastAsia="仿宋_GB2312" w:hAnsi="仿宋_GB2312" w:cs="仿宋_GB2312" w:hint="eastAsia"/>
          <w:sz w:val="32"/>
          <w:szCs w:val="32"/>
        </w:rPr>
        <w:lastRenderedPageBreak/>
        <w:t>的要求的；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不按照规定提取、管理和使用风险准备金的；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伪造、涂改或者不按照规定保存期货交易、结算、交割资料的；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任用不具备资格的期货从业人员的；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伪造、变造、出租、出借、买卖期货业务许可证或者经营许可证的；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进行混码交易的；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拒绝或者妨碍国务院期货监督管理机构监督检查的；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违反国务院期货监督管理机构规定的其他行为。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期货公司有前款所列行为之一的，对直接负责的主管人员和其他直接责任人员给予警告，并处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万元以下的罚款；情节严重的，暂停或者撤销期货从业人员资格。</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期货公司之外的其他期货经营机构有本条第一款第八项、第十二项、第十三项、第十五项、第十六项所列行为的，依照本条第一款、第二款的规定处罚。</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货公司的股东、实际控制人或者其他关联人未经批准擅自委托他人或者接受他人委托持有或者管理期货公司股权的，拒不配合国务院期货监督管理机构的检查，拒不按照规定履行报告义务、提供有关信息和资料，或者报送、提供的信息和资料有虚假</w:t>
      </w:r>
      <w:r>
        <w:rPr>
          <w:rFonts w:ascii="仿宋_GB2312" w:eastAsia="仿宋_GB2312" w:hAnsi="仿宋_GB2312" w:cs="仿宋_GB2312" w:hint="eastAsia"/>
          <w:sz w:val="32"/>
          <w:szCs w:val="32"/>
        </w:rPr>
        <w:lastRenderedPageBreak/>
        <w:t>记</w:t>
      </w:r>
      <w:r>
        <w:rPr>
          <w:rFonts w:ascii="仿宋_GB2312" w:eastAsia="仿宋_GB2312" w:hAnsi="仿宋_GB2312" w:cs="仿宋_GB2312" w:hint="eastAsia"/>
          <w:sz w:val="32"/>
          <w:szCs w:val="32"/>
        </w:rPr>
        <w:t>载、误导性陈述或者重大遗漏的，依照本条第一款、第二款的规定处罚。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期货公司有下列欺诈客户行为之一的，责令改正，给予警告，没收违法所得，并处违法所得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万元以下的罚款；情节严重的，责令停业整顿或者吊销期货业务许可证：</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向客户作获利保证或者不按照规定向客户出示风险说明书的；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在经纪业务中与客户约定分享利益、共担风险的；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不按照规定接受客户委托或者不按照客户委托内容擅自进行期货交易的；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隐瞒重要事项或者使用其他不正当手段，诱骗客户发出交易指令的；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向客户提供虚假成交回报的；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未将客户交易指令下达到期货交易所的；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挪用客户保证金的；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不按照规定在期货保证金存管银行开立保证金账户，或者违规划转客户保证金的；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国务院期货监督管理机构规定的其他欺诈客户的行为。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期货公司有前款所列行为之一的，对直接负责的主管人员和其他直接责任人员给予警告，并处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万元以下的罚款；情节严重的，暂停或者撤销期货从业人员资格。</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任何单位或者个人编造并且传播有关期货交易的虚假信</w:t>
      </w:r>
      <w:r>
        <w:rPr>
          <w:rFonts w:ascii="仿宋_GB2312" w:eastAsia="仿宋_GB2312" w:hAnsi="仿宋_GB2312" w:cs="仿宋_GB2312" w:hint="eastAsia"/>
          <w:sz w:val="32"/>
          <w:szCs w:val="32"/>
        </w:rPr>
        <w:t>息，扰乱期货交易市场的，依照本条第一款、第二款的规定处罚。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期货公司及其他期货经营机构、非期货公司结算会员、期货保证金存管银行提供虚假申请文件或者采取其他欺诈手段隐瞒重要事实骗取期货业务许可的，撤销其期货业务许可，没收违法所得。</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期货交易内幕信息的知情人或者非法获取期货交易内幕信息的人，在对期货交易价格有重大影响的信息尚未公开前，利用内幕信息从事期货交易，或者向他人泄露内幕信息，使他人利用内幕信息进行期货交易的，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w:t>
      </w:r>
      <w:r>
        <w:rPr>
          <w:rFonts w:ascii="仿宋_GB2312" w:eastAsia="仿宋_GB2312" w:hAnsi="仿宋_GB2312" w:cs="仿宋_GB2312" w:hint="eastAsia"/>
          <w:sz w:val="32"/>
          <w:szCs w:val="32"/>
        </w:rPr>
        <w:t>得不满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万元以下的罚款。单位从事内幕交易的，还应当对直接负责的主管人员和其他直接责任人员给予警告，并处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国务院期货监督管理机构、期货交易所和期货保证金安全存管监控机构的工作人员进行内幕交易的，从重处罚。</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任何单位或者个人有下列行为之一，操纵期货交</w:t>
      </w:r>
      <w:r>
        <w:rPr>
          <w:rFonts w:ascii="仿宋_GB2312" w:eastAsia="仿宋_GB2312" w:hAnsi="仿宋_GB2312" w:cs="仿宋_GB2312" w:hint="eastAsia"/>
          <w:sz w:val="32"/>
          <w:szCs w:val="32"/>
        </w:rPr>
        <w:lastRenderedPageBreak/>
        <w:t>易价格的，责令改正，没收违法所得，并处违法所得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单独或者合谋，集中资金优势、持仓优势或者利用</w:t>
      </w:r>
      <w:r>
        <w:rPr>
          <w:rFonts w:ascii="仿宋_GB2312" w:eastAsia="仿宋_GB2312" w:hAnsi="仿宋_GB2312" w:cs="仿宋_GB2312" w:hint="eastAsia"/>
          <w:sz w:val="32"/>
          <w:szCs w:val="32"/>
        </w:rPr>
        <w:t>信息优势联合或者连续买卖合约，操纵期货交易价格的；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蓄意串通，按事先约定的时间、价格和方式相互进行期货交易，影响期货交易价格或者期货交易量的；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以自己为交易对象，自买自卖，影响期货交易价格或者期货交易量的；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为影响期货市场行情囤积现货的；</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国务院期货监督管理机构规定的其他操纵期货交易价格的行为。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单位有前款所列行为之一的，对直接负责的主管人员和其他直接责任人员给予警告，并处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交割仓库有本条例第三十五条第二款所列行为之一的，责令改正，给予警告，没收违法所得，并处违法所得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万元以下的罚款；情节严重的，责令期货交易所暂停或者取消其交割仓库资格。对直接负责的主管人员和其他直接责任人员给予警告，并处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w:t>
      </w:r>
      <w:r>
        <w:rPr>
          <w:rFonts w:ascii="仿宋_GB2312" w:eastAsia="仿宋_GB2312" w:hAnsi="仿宋_GB2312" w:cs="仿宋_GB2312" w:hint="eastAsia"/>
          <w:sz w:val="32"/>
          <w:szCs w:val="32"/>
        </w:rPr>
        <w:lastRenderedPageBreak/>
        <w:t>下的罚款。</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国有以及国有控股企业违反本条例和国务院国有资产监督管理机构以及其他有关部门关于企业以国有资产进入期货市场的有关规定进行期货交易，或者单位、个人违规使用信贷资金、财政资金</w:t>
      </w:r>
      <w:r>
        <w:rPr>
          <w:rFonts w:ascii="仿宋_GB2312" w:eastAsia="仿宋_GB2312" w:hAnsi="仿宋_GB2312" w:cs="仿宋_GB2312" w:hint="eastAsia"/>
          <w:sz w:val="32"/>
          <w:szCs w:val="32"/>
        </w:rPr>
        <w:t>进行期货交易的，给予警告，没收违法所得，并处违法所得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万元以下的罚款。对直接负责的主管人员和其他直接责任人员给予降级直至开除的纪律处分。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仿宋_GB2312" w:eastAsia="仿宋_GB2312" w:hAnsi="仿宋_GB2312" w:cs="仿宋_GB2312" w:hint="eastAsia"/>
          <w:sz w:val="32"/>
          <w:szCs w:val="32"/>
        </w:rPr>
        <w:t>境内单位或者个人违反规定从事境外期货交易的，责令改正，给予警告，没收违法所得，并处违法所得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万元以下的罚款；情节严重的，暂停其境外期货交易。对单位直接负责的主管人员和其他直接责任人员给予警告，并处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非法设立期货交易场所或者以其他形式组织期货交易活动的，由所在地县级以上地方人民政府予以取缔，没收违法所得，并处违法所得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万元以下的罚款。对单位直接负责的主管人员和其他直接责任人员给予警</w:t>
      </w:r>
      <w:r>
        <w:rPr>
          <w:rFonts w:ascii="仿宋_GB2312" w:eastAsia="仿宋_GB2312" w:hAnsi="仿宋_GB2312" w:cs="仿宋_GB2312" w:hint="eastAsia"/>
          <w:sz w:val="32"/>
          <w:szCs w:val="32"/>
        </w:rPr>
        <w:lastRenderedPageBreak/>
        <w:t>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非法设立期货公司及其他期货经营机构，或者擅自从事期货业务的，予以取缔，没收违法所得，并处违法所得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倍以下的罚款；没有违法所得或者违法所得不满</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万元以下的罚款。对单位直接负责的主管人员和其他直接责任人员给予警告，并处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第七十五条　</w:t>
      </w:r>
      <w:r>
        <w:rPr>
          <w:rFonts w:ascii="仿宋_GB2312" w:eastAsia="仿宋_GB2312" w:hAnsi="仿宋_GB2312" w:cs="仿宋_GB2312" w:hint="eastAsia"/>
          <w:sz w:val="32"/>
          <w:szCs w:val="32"/>
        </w:rPr>
        <w:t>期货公司的交易软件、结算软件供应商拒不配合国务院期货监督管理机构调查，或者未按照规定向国务院期货监督管理机构提供相关软件资料，或者提供的软件资料有虚假、重大遗漏的，责令改正，处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万元以下的罚款。对直接负责的主管人员和其他直接责任人员给予警告，并处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第七十六条　</w:t>
      </w:r>
      <w:r>
        <w:rPr>
          <w:rFonts w:ascii="仿宋_GB2312" w:eastAsia="仿宋_GB2312" w:hAnsi="仿宋_GB2312" w:cs="仿宋_GB2312" w:hint="eastAsia"/>
          <w:sz w:val="32"/>
          <w:szCs w:val="32"/>
        </w:rPr>
        <w:t>会计师事务所、律师事务所、资产评估机构等中介服务机构未勤勉尽责，所出具的文件有</w:t>
      </w:r>
      <w:r>
        <w:rPr>
          <w:rFonts w:ascii="仿宋_GB2312" w:eastAsia="仿宋_GB2312" w:hAnsi="仿宋_GB2312" w:cs="仿宋_GB2312" w:hint="eastAsia"/>
          <w:sz w:val="32"/>
          <w:szCs w:val="32"/>
        </w:rPr>
        <w:t>虚假记载、误导性陈述或者重大遗漏的，责令改正，没收业务收入，暂停或者撤销相关业务许可，并处业务收入</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倍以下的罚款。对直接负责的主管人员和其他直接责任人员给予警告，并处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第七十七条　</w:t>
      </w:r>
      <w:r>
        <w:rPr>
          <w:rFonts w:ascii="仿宋_GB2312" w:eastAsia="仿宋_GB2312" w:hAnsi="仿宋_GB2312" w:cs="仿宋_GB2312" w:hint="eastAsia"/>
          <w:sz w:val="32"/>
          <w:szCs w:val="32"/>
        </w:rPr>
        <w:t>任何单位或者个人违反本条例规定，情节严重的，由国务院期货监督管理机构宣布该个人、该单位或者该单位</w:t>
      </w:r>
      <w:r>
        <w:rPr>
          <w:rFonts w:ascii="仿宋_GB2312" w:eastAsia="仿宋_GB2312" w:hAnsi="仿宋_GB2312" w:cs="仿宋_GB2312" w:hint="eastAsia"/>
          <w:sz w:val="32"/>
          <w:szCs w:val="32"/>
        </w:rPr>
        <w:lastRenderedPageBreak/>
        <w:t>的直接责任人员为期货市场禁止进入者。</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第七十八条　</w:t>
      </w:r>
      <w:r>
        <w:rPr>
          <w:rFonts w:ascii="仿宋_GB2312" w:eastAsia="仿宋_GB2312" w:hAnsi="仿宋_GB2312" w:cs="仿宋_GB2312" w:hint="eastAsia"/>
          <w:sz w:val="32"/>
          <w:szCs w:val="32"/>
        </w:rPr>
        <w:t>国务院期货监督管理机构、期货交易所、期货保证金安全存管监控机构和期货保证金存管银行等相关单位的工作人员，泄露知悉的国家秘密或者会员、客户商业秘密，或</w:t>
      </w:r>
      <w:r>
        <w:rPr>
          <w:rFonts w:ascii="仿宋_GB2312" w:eastAsia="仿宋_GB2312" w:hAnsi="仿宋_GB2312" w:cs="仿宋_GB2312" w:hint="eastAsia"/>
          <w:sz w:val="32"/>
          <w:szCs w:val="32"/>
        </w:rPr>
        <w:t>者徇私舞弊、玩忽职守、滥用职权、收受贿赂的，依法给予行政处分或者纪律处分。</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第七十九条　</w:t>
      </w:r>
      <w:r>
        <w:rPr>
          <w:rFonts w:ascii="仿宋_GB2312" w:eastAsia="仿宋_GB2312" w:hAnsi="仿宋_GB2312" w:cs="仿宋_GB2312" w:hint="eastAsia"/>
          <w:sz w:val="32"/>
          <w:szCs w:val="32"/>
        </w:rPr>
        <w:t>违反本条例规定，构成犯罪的，依法追究刑事责任。</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第八十条　</w:t>
      </w:r>
      <w:r>
        <w:rPr>
          <w:rFonts w:ascii="仿宋_GB2312" w:eastAsia="仿宋_GB2312" w:hAnsi="仿宋_GB2312" w:cs="仿宋_GB2312" w:hint="eastAsia"/>
          <w:sz w:val="32"/>
          <w:szCs w:val="32"/>
        </w:rPr>
        <w:t>对本条例规定的违法行为的行政处罚，除本条例已有规定的外，由国务院期货监督管理机构决定；涉及其他有关部门法定职权的，国务院期货监督管理机构应当会同其他有关部门处理；属于其他有关部门法定职权的，国务院期货监督管理机构应当移交其他有关部门处理。</w:t>
      </w:r>
    </w:p>
    <w:p w:rsidR="00472902" w:rsidRDefault="00AA0ED4">
      <w:pPr>
        <w:pStyle w:val="2"/>
      </w:pPr>
      <w:r>
        <w:t>第八章　附　　则</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第八十一条　</w:t>
      </w:r>
      <w:r>
        <w:rPr>
          <w:rFonts w:ascii="仿宋_GB2312" w:eastAsia="仿宋_GB2312" w:hAnsi="仿宋_GB2312" w:cs="仿宋_GB2312" w:hint="eastAsia"/>
          <w:sz w:val="32"/>
          <w:szCs w:val="32"/>
        </w:rPr>
        <w:t>本条例下列用语的含义：</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商品期货合约，是指以农产品、工业品、能源和其他商品及其相关指数产品</w:t>
      </w:r>
      <w:r>
        <w:rPr>
          <w:rFonts w:ascii="仿宋_GB2312" w:eastAsia="仿宋_GB2312" w:hAnsi="仿宋_GB2312" w:cs="仿宋_GB2312" w:hint="eastAsia"/>
          <w:sz w:val="32"/>
          <w:szCs w:val="32"/>
        </w:rPr>
        <w:t>为标的物的期货合约。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金融期货合约，是指以有价证券、利率、汇率等金融产品及其相关指数产品为标的物的期货合约。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保证金，是指期货交易者按照规定交纳的资金或者提交的价值稳定、流动性强的标准仓单、国债等有价证券，用于结算和保证履约。</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结算，是指根据期货交易所公布的结算价格对交易双方的交易结果进行的资金清算和划转。</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交割，是指合约到期时，按照期货交易所的规则和程序，交易双方通过该合约所载标的物所有权的转移，或者按照规定结算价格进行现金差价结算，了结到期未平仓合约的过程。</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平仓，是指期货交易者买入或者卖出与其所持合约的品种、数量和交割月份相同但交易方向相反的合约，了结期货交易的行为。</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持仓量，是指期货交易者所持有的未平仓合约的数量。</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持仓限额，是指期货交易所对期货交易者的持仓量规定的最高数额。</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标准仓单，是指交割仓库开具并经期货交易所认定的标准化提货凭证。</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涨跌停板，是指合约在</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个交易日中的交易价格不得高于或者低于规定的涨跌幅度，超出该涨跌幅度的报价将被视为无效，不能成交。</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内幕信息，是指可能对期货交易价格产生重大影响的</w:t>
      </w:r>
      <w:r>
        <w:rPr>
          <w:rFonts w:ascii="仿宋_GB2312" w:eastAsia="仿宋_GB2312" w:hAnsi="仿宋_GB2312" w:cs="仿宋_GB2312" w:hint="eastAsia"/>
          <w:sz w:val="32"/>
          <w:szCs w:val="32"/>
        </w:rPr>
        <w:lastRenderedPageBreak/>
        <w:t>尚未公开的信息，包</w:t>
      </w:r>
      <w:r>
        <w:rPr>
          <w:rFonts w:ascii="仿宋_GB2312" w:eastAsia="仿宋_GB2312" w:hAnsi="仿宋_GB2312" w:cs="仿宋_GB2312" w:hint="eastAsia"/>
          <w:sz w:val="32"/>
          <w:szCs w:val="32"/>
        </w:rPr>
        <w:t>括：国务院期货监督管理机构以及其他相关部门制定的对期货交易价格可能发生重大影响的政策，期货交易所作出的可能对期货交易价格发生重大影响的决定，期货交易所会员、客户的资金和交易动向以及国务院期货监督管理机构认定的对期货交易价格有显著影响的其他重要信息。</w:t>
      </w:r>
    </w:p>
    <w:p w:rsidR="00472902" w:rsidRDefault="00AA0ED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幕信息的知情人员，是指由于其管理地位、监督地位或者职业地位，或者作为雇员、专业顾问履行职务，能够接触或者获得内幕信息的人员，包括：期货交易所的管理人员以及其他由于任职可获取内幕信息的从业人员，国务院期货监督管理机构和其他有关部门的工作人员以及国务院期货监督管理机构规定的其他人员。</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第八十二条　</w:t>
      </w:r>
      <w:r>
        <w:rPr>
          <w:rFonts w:ascii="仿宋_GB2312" w:eastAsia="仿宋_GB2312" w:hAnsi="仿宋_GB2312" w:cs="仿宋_GB2312" w:hint="eastAsia"/>
          <w:sz w:val="32"/>
          <w:szCs w:val="32"/>
        </w:rPr>
        <w:t>国务院期货监督管理机构可以批准设立期货专门结算机构，专门履行期货交易所的结算以及相关职责，并承担相应法律责任。</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第八十三条　</w:t>
      </w:r>
      <w:r>
        <w:rPr>
          <w:rFonts w:ascii="仿宋_GB2312" w:eastAsia="仿宋_GB2312" w:hAnsi="仿宋_GB2312" w:cs="仿宋_GB2312" w:hint="eastAsia"/>
          <w:sz w:val="32"/>
          <w:szCs w:val="32"/>
        </w:rPr>
        <w:t>境外机构在境内设立、收购或者参股期货经营机构，以及境外期货经营机构在境内设立分支机构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含代表处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的管理办法，由国务院期货监督管理机构会同国务院商务主管部门、外汇管理部门等有关部门制订，报国务院批准后施行。</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第八十四条　</w:t>
      </w:r>
      <w:r>
        <w:rPr>
          <w:rFonts w:ascii="仿宋_GB2312" w:eastAsia="仿宋_GB2312" w:hAnsi="仿宋_GB2312" w:cs="仿宋_GB2312" w:hint="eastAsia"/>
          <w:sz w:val="32"/>
          <w:szCs w:val="32"/>
        </w:rPr>
        <w:t>在期货交</w:t>
      </w:r>
      <w:r>
        <w:rPr>
          <w:rFonts w:ascii="仿宋_GB2312" w:eastAsia="仿宋_GB2312" w:hAnsi="仿宋_GB2312" w:cs="仿宋_GB2312" w:hint="eastAsia"/>
          <w:spacing w:val="-6"/>
          <w:sz w:val="32"/>
          <w:szCs w:val="32"/>
        </w:rPr>
        <w:t>易所之外的国务院期货监督管理机构批准的交易场所进行的期货交易，依照本条例的有关规</w:t>
      </w:r>
      <w:r>
        <w:rPr>
          <w:rFonts w:ascii="仿宋_GB2312" w:eastAsia="仿宋_GB2312" w:hAnsi="仿宋_GB2312" w:cs="仿宋_GB2312" w:hint="eastAsia"/>
          <w:sz w:val="32"/>
          <w:szCs w:val="32"/>
        </w:rPr>
        <w:t>定执行。</w:t>
      </w:r>
    </w:p>
    <w:p w:rsidR="00472902" w:rsidRDefault="00AA0ED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第八十五条　</w:t>
      </w:r>
      <w:r>
        <w:rPr>
          <w:rFonts w:ascii="仿宋_GB2312" w:eastAsia="仿宋_GB2312" w:hAnsi="仿宋_GB2312" w:cs="仿宋_GB2312" w:hint="eastAsia"/>
          <w:sz w:val="32"/>
          <w:szCs w:val="32"/>
        </w:rPr>
        <w:t>不属于期货交易的商品或者金融产品的其他交易活动，由国家有关部门监督管理，不适用本条例。</w:t>
      </w:r>
    </w:p>
    <w:p w:rsidR="00472902" w:rsidRDefault="00AA0ED4">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第八十六条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1999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日国务院发</w:t>
      </w:r>
      <w:bookmarkStart w:id="0" w:name="_GoBack"/>
      <w:bookmarkEnd w:id="0"/>
      <w:r>
        <w:rPr>
          <w:rFonts w:ascii="仿宋_GB2312" w:eastAsia="仿宋_GB2312" w:hAnsi="仿宋_GB2312" w:cs="仿宋_GB2312" w:hint="eastAsia"/>
          <w:sz w:val="32"/>
          <w:szCs w:val="32"/>
        </w:rPr>
        <w:t>布的《期货交易管理暂行条例》同时废止。</w:t>
      </w:r>
    </w:p>
    <w:sectPr w:rsidR="00472902" w:rsidSect="0047290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0ED4" w:rsidRDefault="00AA0ED4" w:rsidP="00472902">
      <w:r>
        <w:separator/>
      </w:r>
    </w:p>
  </w:endnote>
  <w:endnote w:type="continuationSeparator" w:id="0">
    <w:p w:rsidR="00AA0ED4" w:rsidRDefault="00AA0ED4" w:rsidP="0047290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902" w:rsidRDefault="0047290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472902" w:rsidRDefault="00472902">
                <w:pPr>
                  <w:pStyle w:val="a6"/>
                  <w:rPr>
                    <w:sz w:val="24"/>
                  </w:rPr>
                </w:pPr>
                <w:r>
                  <w:rPr>
                    <w:rFonts w:hint="eastAsia"/>
                    <w:sz w:val="24"/>
                  </w:rPr>
                  <w:fldChar w:fldCharType="begin"/>
                </w:r>
                <w:r w:rsidR="00AA0ED4">
                  <w:rPr>
                    <w:rFonts w:hint="eastAsia"/>
                    <w:sz w:val="24"/>
                  </w:rPr>
                  <w:instrText xml:space="preserve"> PAGE  \* MERGEFORMAT </w:instrText>
                </w:r>
                <w:r>
                  <w:rPr>
                    <w:rFonts w:hint="eastAsia"/>
                    <w:sz w:val="24"/>
                  </w:rPr>
                  <w:fldChar w:fldCharType="separate"/>
                </w:r>
                <w:r w:rsidR="00D75F08">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0ED4" w:rsidRDefault="00AA0ED4" w:rsidP="00472902">
      <w:r>
        <w:separator/>
      </w:r>
    </w:p>
  </w:footnote>
  <w:footnote w:type="continuationSeparator" w:id="0">
    <w:p w:rsidR="00AA0ED4" w:rsidRDefault="00AA0ED4" w:rsidP="0047290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72902"/>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0ED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5F08"/>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3A20C1"/>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6C662A"/>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4C7842"/>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62B7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9E412F"/>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0E90CC0"/>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2902"/>
    <w:pPr>
      <w:widowControl w:val="0"/>
      <w:jc w:val="both"/>
    </w:pPr>
    <w:rPr>
      <w:kern w:val="2"/>
      <w:sz w:val="21"/>
    </w:rPr>
  </w:style>
  <w:style w:type="paragraph" w:styleId="1">
    <w:name w:val="heading 1"/>
    <w:basedOn w:val="a"/>
    <w:next w:val="a"/>
    <w:link w:val="1Char"/>
    <w:uiPriority w:val="9"/>
    <w:qFormat/>
    <w:rsid w:val="0047290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47290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47290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47290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47290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47290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47290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47290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472902"/>
    <w:pPr>
      <w:spacing w:before="100" w:beforeAutospacing="1" w:after="120"/>
      <w:ind w:leftChars="200" w:left="200"/>
    </w:pPr>
    <w:rPr>
      <w:szCs w:val="21"/>
    </w:rPr>
  </w:style>
  <w:style w:type="paragraph" w:styleId="a4">
    <w:name w:val="Plain Text"/>
    <w:basedOn w:val="a"/>
    <w:link w:val="Char0"/>
    <w:uiPriority w:val="99"/>
    <w:unhideWhenUsed/>
    <w:qFormat/>
    <w:rsid w:val="00472902"/>
    <w:rPr>
      <w:rFonts w:ascii="宋体" w:hAnsi="Courier New" w:cs="Courier New"/>
      <w:szCs w:val="21"/>
    </w:rPr>
  </w:style>
  <w:style w:type="paragraph" w:styleId="a5">
    <w:name w:val="Balloon Text"/>
    <w:basedOn w:val="a"/>
    <w:link w:val="Char1"/>
    <w:uiPriority w:val="99"/>
    <w:semiHidden/>
    <w:unhideWhenUsed/>
    <w:qFormat/>
    <w:rsid w:val="00472902"/>
    <w:rPr>
      <w:rFonts w:asciiTheme="minorHAnsi" w:eastAsiaTheme="minorEastAsia" w:hAnsiTheme="minorHAnsi" w:cstheme="minorBidi"/>
      <w:sz w:val="18"/>
      <w:szCs w:val="18"/>
    </w:rPr>
  </w:style>
  <w:style w:type="paragraph" w:styleId="a6">
    <w:name w:val="footer"/>
    <w:basedOn w:val="a"/>
    <w:link w:val="Char10"/>
    <w:uiPriority w:val="99"/>
    <w:unhideWhenUsed/>
    <w:qFormat/>
    <w:rsid w:val="0047290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47290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47290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47290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472902"/>
    <w:pPr>
      <w:spacing w:before="240" w:after="60"/>
      <w:jc w:val="center"/>
      <w:outlineLvl w:val="0"/>
    </w:pPr>
    <w:rPr>
      <w:rFonts w:ascii="Cambria" w:hAnsi="Cambria"/>
      <w:b/>
      <w:sz w:val="32"/>
      <w:szCs w:val="32"/>
    </w:rPr>
  </w:style>
  <w:style w:type="table" w:styleId="ab">
    <w:name w:val="Table Grid"/>
    <w:basedOn w:val="a1"/>
    <w:uiPriority w:val="59"/>
    <w:qFormat/>
    <w:rsid w:val="0047290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472902"/>
    <w:rPr>
      <w:vertAlign w:val="superscript"/>
    </w:rPr>
  </w:style>
  <w:style w:type="character" w:customStyle="1" w:styleId="Char0">
    <w:name w:val="纯文本 Char"/>
    <w:basedOn w:val="a0"/>
    <w:link w:val="a4"/>
    <w:uiPriority w:val="99"/>
    <w:qFormat/>
    <w:rsid w:val="00472902"/>
    <w:rPr>
      <w:rFonts w:ascii="宋体" w:eastAsia="宋体" w:hAnsi="Courier New" w:cs="Courier New"/>
      <w:szCs w:val="21"/>
    </w:rPr>
  </w:style>
  <w:style w:type="character" w:customStyle="1" w:styleId="Char2">
    <w:name w:val="页眉 Char"/>
    <w:basedOn w:val="a0"/>
    <w:link w:val="a7"/>
    <w:uiPriority w:val="99"/>
    <w:qFormat/>
    <w:rsid w:val="00472902"/>
    <w:rPr>
      <w:sz w:val="18"/>
      <w:szCs w:val="18"/>
    </w:rPr>
  </w:style>
  <w:style w:type="character" w:customStyle="1" w:styleId="Char4">
    <w:name w:val="页脚 Char"/>
    <w:basedOn w:val="a0"/>
    <w:link w:val="a6"/>
    <w:uiPriority w:val="99"/>
    <w:qFormat/>
    <w:rsid w:val="00472902"/>
    <w:rPr>
      <w:sz w:val="18"/>
      <w:szCs w:val="18"/>
    </w:rPr>
  </w:style>
  <w:style w:type="character" w:customStyle="1" w:styleId="1Char">
    <w:name w:val="标题 1 Char"/>
    <w:basedOn w:val="a0"/>
    <w:link w:val="1"/>
    <w:uiPriority w:val="9"/>
    <w:qFormat/>
    <w:rsid w:val="0047290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47290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47290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47290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472902"/>
    <w:rPr>
      <w:b/>
      <w:bCs/>
      <w:sz w:val="28"/>
      <w:szCs w:val="28"/>
    </w:rPr>
  </w:style>
  <w:style w:type="character" w:customStyle="1" w:styleId="6Char">
    <w:name w:val="标题 6 Char"/>
    <w:basedOn w:val="a0"/>
    <w:link w:val="6"/>
    <w:uiPriority w:val="9"/>
    <w:semiHidden/>
    <w:qFormat/>
    <w:rsid w:val="0047290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472902"/>
    <w:rPr>
      <w:b/>
      <w:bCs/>
      <w:sz w:val="24"/>
      <w:szCs w:val="24"/>
    </w:rPr>
  </w:style>
  <w:style w:type="character" w:customStyle="1" w:styleId="8Char">
    <w:name w:val="标题 8 Char"/>
    <w:basedOn w:val="a0"/>
    <w:link w:val="8"/>
    <w:uiPriority w:val="9"/>
    <w:semiHidden/>
    <w:qFormat/>
    <w:rsid w:val="0047290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472902"/>
    <w:rPr>
      <w:kern w:val="2"/>
      <w:sz w:val="18"/>
      <w:szCs w:val="18"/>
    </w:rPr>
  </w:style>
  <w:style w:type="character" w:customStyle="1" w:styleId="15">
    <w:name w:val="15"/>
    <w:basedOn w:val="a0"/>
    <w:qFormat/>
    <w:rsid w:val="00472902"/>
    <w:rPr>
      <w:rFonts w:ascii="Times New Roman" w:hAnsi="Times New Roman" w:cs="Times New Roman" w:hint="default"/>
      <w:b/>
      <w:bCs/>
    </w:rPr>
  </w:style>
  <w:style w:type="character" w:customStyle="1" w:styleId="Char">
    <w:name w:val="正文文本缩进 Char"/>
    <w:basedOn w:val="a0"/>
    <w:link w:val="a3"/>
    <w:uiPriority w:val="99"/>
    <w:qFormat/>
    <w:rsid w:val="00472902"/>
    <w:rPr>
      <w:rFonts w:ascii="Times New Roman" w:eastAsia="宋体" w:hAnsi="Times New Roman" w:cs="Times New Roman"/>
      <w:kern w:val="2"/>
      <w:sz w:val="21"/>
      <w:szCs w:val="21"/>
    </w:rPr>
  </w:style>
  <w:style w:type="character" w:customStyle="1" w:styleId="Char3">
    <w:name w:val="标题 Char"/>
    <w:basedOn w:val="a0"/>
    <w:link w:val="aa"/>
    <w:qFormat/>
    <w:rsid w:val="00472902"/>
    <w:rPr>
      <w:rFonts w:ascii="Cambria" w:eastAsia="宋体" w:hAnsi="Cambria" w:cs="Cambria" w:hint="default"/>
      <w:b/>
      <w:kern w:val="2"/>
      <w:sz w:val="32"/>
      <w:szCs w:val="32"/>
    </w:rPr>
  </w:style>
  <w:style w:type="character" w:customStyle="1" w:styleId="Char10">
    <w:name w:val="页脚 Char1"/>
    <w:basedOn w:val="a0"/>
    <w:link w:val="a6"/>
    <w:qFormat/>
    <w:rsid w:val="0047290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0A4B73-356F-459C-B9B9-0544E6C52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2294</Words>
  <Characters>13077</Characters>
  <Application>Microsoft Office Word</Application>
  <DocSecurity>0</DocSecurity>
  <Lines>108</Lines>
  <Paragraphs>30</Paragraphs>
  <ScaleCrop>false</ScaleCrop>
  <Company/>
  <LinksUpToDate>false</LinksUpToDate>
  <CharactersWithSpaces>15341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