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期货交易管理条例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(2007年3月6日中华人民共和国国务院令第489号公布　</w:t>
      </w:r>
      <w:r>
        <w:rPr>
          <w:rFonts w:hint="eastAsia" w:ascii="楷体_GB2312" w:hAnsi="楷体_GB2312" w:eastAsia="楷体_GB2312" w:cs="楷体_GB2312"/>
          <w:sz w:val="32"/>
          <w:szCs w:val="32"/>
        </w:rPr>
        <w:t>根据2012年10月24日《国务院关于修改〈期货交易管理条例〉的决定》第一次修订　根据2013年7月18日《国务院关于废止和修改部分行政法规的决定》第二次修订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为了规范期货交易行为，加强对期货交易的监督管理，维护期货市场秩序，防范风险，保护期货交易各方的合法权益和社会公共利益，促进期货市场积极稳妥发展，制定本条例。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任何单位和个人从事期货交易及其相关活动，应当遵守本条例。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本条例所称期货交易，是指采用公开的集中交易方式或者国务院期货监督管理机构批准的其他方式进行的以期货合约或者期权合约为交易标的的交易活动。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本条例所称期</w:t>
      </w:r>
      <w:r>
        <w:rPr>
          <w:rFonts w:hint="eastAsia" w:ascii="仿宋_GB2312" w:hAnsi="仿宋_GB2312" w:eastAsia="仿宋_GB2312" w:cs="仿宋_GB2312"/>
          <w:spacing w:val="-6"/>
          <w:sz w:val="32"/>
          <w:szCs w:val="32"/>
        </w:rPr>
        <w:t>货合约，是指期货交易场所统一制定的、规定在将来某一特定的时间和地点交割一定数量标的物的标准化合约。期货合约包括商品期货合约和金融期货合约及其</w:t>
      </w:r>
      <w:r>
        <w:rPr>
          <w:rFonts w:hint="eastAsia" w:ascii="仿宋_GB2312" w:hAnsi="仿宋_GB2312" w:eastAsia="仿宋_GB2312" w:cs="仿宋_GB2312"/>
          <w:sz w:val="32"/>
          <w:szCs w:val="32"/>
        </w:rPr>
        <w:t>他期货合约。</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本条例所称期权合约，是指期货交易场所统一制定的、规定买方有权在将来某一时间以特定价格买入或者卖出约定标的物(包括期货合约)的标准化合约。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从事期货交易活动，应当遵循公开、公平、公正和诚实信用的原则。禁止欺诈、内幕交易和操纵期货交易价格等违法行为。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期货交易应当在依照本条例第六条第一款规定设立的期货交易所、国务院批准的或者国务院期货监督管理机构批准的其他期货交易场所进行。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禁止在前款规定的期货交易场所之外进行期货交易。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国务院期货监督管理机构对期货市场实行集中统一的监督管理。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国务院期货监督管理机构派出机构依照本条例的有关规定和国务院期货监督管理机构的授权，履行监督管理职责。</w:t>
      </w:r>
    </w:p>
    <w:p>
      <w:pPr>
        <w:pStyle w:val="3"/>
        <w:bidi w:val="0"/>
        <w:rPr>
          <w:szCs w:val="32"/>
        </w:rPr>
      </w:pPr>
      <w:r>
        <w:t>第二章　期货交易所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设立期货交易所，由国务院期货监督管理机构审批。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未经国务院批准或者国务院期货监督管理机构批准，任何单位或者个人不得设立期货交易场所或者以任何形式组织期货交易及其相关活动。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期货交易所不以营利为目的，按照其章程的规定实行自律管理。期货交易所以其全部财产承担民事责任。期货交易所的负责人由国务院期货监督管理机构任免。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期货交易所的管理办法由国务院期货监督管理机构制定。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期货交易所会员应当是在中华人民共和国境内登记注册的企业法人或者其他经济组织。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期货交易所可以实行会员分级结算制度。实行会员分级结算制度的期货交易所会员由结算会员和非结算会员组成。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有《中华人民共和国公司法》第一百四十七条规定的情形或者下列情形之一的，不得担任期货交易所的负责人、财务会计人员：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违法行为或者违纪行为被解除职务的期货交易所、证券交易所、证券登记结算机构的负责人，或者期货公司、证券公司的董事、监事、高级管理人员，以及国务院期货监督管理机构规定的其他人员，自被解除职务之日起未逾5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(二)因违法行为或者违纪行为被撤销资格的律师、注册会计师或者投资咨询机构、财务顾问机构、资信评级机构、资产评估机构、验证机构的专业人员，自被撤销资格之日起未逾5年。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期货交易所应当依照本条例和国务院期货监督管理机构的规定，建立、健全各项规章制度，加强对交易活动的风险控制和对会员以及交易所工作人员的监督管理。期货交易所履行下列职责：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(一)提供交易的场所、设施和服务；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(二)设计合约，安排合约上市；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(三)组织并监督交易、结算和交割；</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(四)为期货交易提供集中履约担保；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(五)按照章程和交易规则对会员进行监督管理；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(六)国务院期货监督管理机构规定的其他职责。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期货交易所不得直接或者间接参与期货交易。未经国务院期货监督管理机构审核并报国务院批准，期货交易所不得从事信托投资、股票投资、非自用不动产投资等与其职责无关的业务。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期货交易所应当按照国家有关规定建立、健全下列风险管理制度：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(一)保证金制度；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(二)当日无负债结算制度；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(三)涨跌停板制度；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(四)持仓限额和大户持仓报告制度；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(五)风险准备金制度；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(六)国务院期货监督管理机构规定的其他风险管理制度。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实行会员分级结算制度的期货交易所，还应当建立、健全结算担保金制度。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当期货市场出现异常情况时，期货交易所可以按照其章程规定的权限和程序，决定采取下列紧急措施，并应当立即报告国务院期货监督管理机构：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(一)提高保证金；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(二)调整涨跌停板幅度；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(三)限制会员或者客户的最大持仓量；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(四)暂时停止交易；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(五)采取其他紧急措施。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前款所称异常情况，是指在交易中发生操纵期货交易价格的行为或者发生不可抗拒的突发事件以及国务院期货监督管理机构规定的其他情形。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异常情况消失后，期货交易所应当及时取消紧急措施。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期货交易所办理下列事项，应当经国务院期货监督管理机构批准：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(一)制定或者修改章程、交易规则；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(二)上市、中止、取消或者恢复交易品种；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(三)上市、修改或者终止合约；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(四)变更住所或者营业场所；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(五)合并、分立或者解散；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(六)国务院期货监督管理机构规定的其他事项。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国务院期货监督管理机构批准期货交易所上市新的交易品种，应当征求国务院有关部门的意见。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期货交易所的所得收益按照国家有关规定管理和使用，但应当首先用于保证期货交易场所、设施的运行和改善。</w:t>
      </w:r>
    </w:p>
    <w:p>
      <w:pPr>
        <w:pStyle w:val="3"/>
        <w:bidi w:val="0"/>
        <w:rPr>
          <w:szCs w:val="32"/>
        </w:rPr>
      </w:pPr>
      <w:r>
        <w:t>第三章　期货公司</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期货公司是依照《中华人民共和国公司法》和本条例规定设立的经营期货业务的金融机构。设立期货公司，应当经国务院期货监督管理机构批准，并在公司登记机关登记注册。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未经国务院期货监督管理机构批准，任何单位或者个人不得设立或者变相设立期货公司，经营期货业务。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申请设立期货公司，应当符合《中华人民共和国公司法》的规定，并具备下列条件：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(一)注册资本最低限额为人民币3000万元；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(二)董事、监事、高级管理人员具备任职资格，从业人员具有期货从业资格；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(三)有符合法律、行政法规规定的公司章程；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(四)主要股东以及实际控制人具有持续盈利能力，信誉良好，最近3年无重大违法违规记录；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(五)有合格的经营场所和业务设施；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(六)有健全的风险管理和内部控制制度；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(七)国务院期货监督管理机构规定的其他条件。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国务院期货监督管理机构根据审慎监管原则和各项业务的风险程度，可以提高注册资本最低限额。注册资本应当是实缴资本。股东应当以货币或者期货公司经营必需的非货币财产出资，货币出资比例不得低于85%。</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国务院期货监督管理机构应当在受理期货公司设立申请之日起6个月内，根据审慎监管原则进行审查，作出批准或者不批准的决定。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未经国务院期货监督管理机构批准，任何单位和个人不得委托或者接受他人委托持有或者管理期货公司的股权。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期货公司业务实行许可制度，由国务院期货监督管理机构按照其商品期货、金融期货业务种类颁发许可证。期货公司除申请经营境内期货经纪业务外，还可以申请经营境外期货经纪、期货投资咨询以及国务院期货监督管理机构规定的其他期货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期货公司不得从事与期货业务无关的活动，法律、行政法规或者国务院期货监督管理机构另有规定的除外。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期货公司不得从事或者变相从事期货自营业务。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期货公司不得为其股东、实际控制人或者其他关联人提供融资，不得对外担保。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期货公司从事经纪业务，接受客户委托，以自己的名义为客户进行期货交易，交易结果由客户承担。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期货公司办理下列事项，应当经国务院期货监督管理机构批准：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(一)合并、分立、停业、解散或者破产；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(二)变更业务范围；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(三)变更注册资本且调整股权结构；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(四)新增持有5%以上股权的股东或者控股股东发生变化；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(五)设立、收购、参股或者终止境外期货类经营机构；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(六)国务院期货监督管理机构规定的其他事项。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第三项、第六项所列事项，国务院期货监督管理机构应当自受理申请之日起20日内作出批准或者不批准的决定；前款所列其他事项，国务院期货监督管理机构应当自受理申请之日起2个月内作出批准或者不批准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期货公司办理下列事项，应当经国务院期货监督管理机构派出机构批准：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(一)变更法定代表人；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(二)变更住所或者营业场所；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(三)设立或者终止境内分支机构；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(四)变更境内分支机构的经营范围；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(五)国务院期货监督管理机构规定的其他事项。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第一项、第二项、第四项、第五项所列事项，国务院期货监督管理机构派出机构应当自受理申请之日起20日内作出批准或者不批准的决定；前款第三项所列事项，国务院期货监督管理机构派出机构应当自受理申请之日起2个月内作出批准或者不批准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期货公司或者其分支机构有《中华人民共和国行政许可法》第七十条规定的情形或者下列情形之一的，国务院期货监督管理机构应当依法办理期货业务许可证注销手续：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(一)营业执照被公司登记机关依法注销；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(二)成立后无正当理由超过3个月未开始营业，或者开业后无正当理由停业连续3个月以上；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(三)主动提出注销申请；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(四)国务院期货监督管理机构规定的其他情形。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期货公司在注销期货业务许可证前，应当结清相关期货业务，并依法返还客户的保证金和其他资产。期货公司分支机构在注销经营许可证前，应当终止经营活动，妥善处理客户资产。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期货公司应当建立、健全并严格执行业务管理规则、风险管理制度，遵守信息披露制度，保障客户保证金的存管安全，按照期货交易所的规定，向期货交易所报告大户名单、交易情况。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从事期货投资咨询业务的其他期货经营机构应当取得国务院期货监督管理机构批准的业务资格，具体管理办法由国务院期货监督管理机构制定。</w:t>
      </w:r>
    </w:p>
    <w:p>
      <w:pPr>
        <w:pStyle w:val="3"/>
        <w:bidi w:val="0"/>
        <w:rPr>
          <w:szCs w:val="32"/>
        </w:rPr>
      </w:pPr>
      <w:r>
        <w:t>第四章　期货交易基本规则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在期货交易所进行期货交易的，应当是期货交易所会员。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符合规定条件的境外机构，可以在期货交易所从事特定品种的期货交易。具体办法由国务院期货监督管理机构制定。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期货公司接受客户委托为其进行期货交易，应当事先向客户出示风险说明书，经客户签字确认后，与客户签订书面合同。期货公司不得未经客户委托或者不按照客户委托内容，擅自进行期货交易。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期货公司不得向客户作获利保证；不得在经纪业务中与客户约定分享利益或者共担风险。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下列单位和个人不得从事期货交易，期货公司不得接受其委托为其进行期货交易：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(一)国家机关和事业单位；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(二)国务院期货监督管理机构、期货交易所、期货保证金安全存管监控机构和期货业协会的工作人员；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(三)证券、期货市场禁止进入者；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(四)未能提供开户证明材料的单位和个人；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(五)国务院期货监督管理机构规定不得从事期货交易的其他单位和个人。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客户可以通过书面、电话、互联网或者国务院期货监督管理机构规定的其他方式，向期货公司下达交易指令。客户的交易指令应当明确、全面。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期货公司不得隐瞒重要事项或者使用其他不正当手段诱骗客户发出交易指令。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期货交易所应当及时公布上市品种合约的成交量、成交价、持仓量、最高价与最低价、开盘价与收盘价和其他应当公布的即时行情，并保证即时行情的真实、准确。期货交易所不得发布价格预测信息。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未经期货交易所许可，任何单位和个人不得发布期货交易即时行情。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期货交易应当严格执行保证金制度。期货交易所向会员、期货公司向客户收取的保证金，不得低于国务院期货监督管理机构、期货交易所规定的标准，并应当与自有资金分开，专户存放。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期货交易所向会员收取的保证金，属于会员所有，除用于会员的交易结算外，严禁挪作他用。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期货公司向客户收取的保证金，属于客户所有，除下列可划转的情形外，严禁挪作他用：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(一)依据客户的要求支付可用资金；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(二)为客户交存保证金，支付手续费、税款；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(三)国务院期货监督管理机构规定的其他情形。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期货公司应当为每一个客户单独开立专门账户、设置交易编码，不得混码交易。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期货公司经营期货经纪业务又同时经营其他期货业务的，应当严格执行业务分离和资金分离制度，不得混合操作。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期货交易所、期货公司、非期货公司结算会员应当按照国务院期货监督管理机构、财政部门的规定提取、管理和使用风险准备金，不得挪用。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期货交易的收费项目、收费标准和管理办法由国务院有关主管部门统一制定并公布。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期货交易的结算，由期货交易所统一组织进行。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期货交易所实行当日无负债结算制度。期货交易所应当在当日及时将结算结果通知会员。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期货公司根据期货交易所的结算结果对客户进行结算，并应当将结算结果按照与客户约定的方式及时通知客户。客户应当及时查询并妥善处理自己的交易持仓。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期货交易所会员的保证金不足时，应当及时追加保证金或者自行平仓。会员未在期货交易所规定的时间内追加保证金或者自行平仓的，期货交易所应当将该会员的合约强行平仓，强行平仓的有关费用和发生的损失由该会员承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客户保证金不足时，应当及时追加保证金或者自行平仓。客户未在期货公司规定的时间内及时追加保证金或者自行平仓的，期货公司应当将该客户的合约强行平仓，强行平仓的有关费用和发生的损失由该客户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期货交易的交割，由期货交易所统一组织进行。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交割仓库由期货交易所指定。期货交易所不得限制实物交割总量，并应当与交割仓库签订协议，明确双方的权利和义务。交割仓库不得有下列行为：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(一)出具虚假仓单；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(二)违反期货交易所业务规则，限制交割商品的入库、出库；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(三)泄露与期货交易有关的商业秘密；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(四)违反国家有关规定参与期货交易；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(五)国务院期货监督管理机构规定的其他行为。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会员在期货交易中违约的，期货交易所先以该会员的保证金承担违约责任；保证金不足的，期货交易所应当以风险准备金和自有资金代为承担违约责任，并由此取得对该会员的相应追偿权。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客户在期货交易中违约的，期货公司先以该客户的保证金承担违约责任；保证金不足的，期货公司应当以风险准备金和自有资金代为承担违约责任，并由此取得对该客户的相应追偿权。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实行会员分级结算制度的期货交易所，应当向结算会员收取结算担保金。期货交易所只对结算会员结算，收取和追收保证金，以结算担保金、风险准备金、自有资金代为承担违约责任，以及采取其他相关措施；对非结算会员的结算、收取和追收保证金、代为承担违约责任，以及采取其他相关措施，由结算会员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期货交易所、期货公司和非期货公司结算会员应当保证期货交易、结算、交割资料的完整和安全。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任何单位或者个人不得编造、传播有关期货交易的虚假信息，不得恶意串通、联手买卖或者以其他方式操纵期货交易价格。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任何单位或者个人不得违规使用信贷资金、财政资金进行期货交易。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银行业金融机构从事期货交易融资或者担保业务的资格，由国务院银行业监督管理机构批准。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国有以及国有控股企业进行境内外期货交易，应当遵循套期保值的原则，严格遵守国务院国有资产监督管理机构以及其他有关部门关于企业以国有资产进入期货市场的有关规定。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境外期货项下购汇、结汇以及外汇收支，应当符合国家外汇管理有关规定。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境内单位或者个人从事境外期货交易的办法，由国务院期货监督管理机构会同国务院商务主管部门、国有资产监督管理机构、银行业监督管理机构、外汇管理部门等有关部门制订，报国务院批准后施行。</w:t>
      </w:r>
    </w:p>
    <w:p>
      <w:pPr>
        <w:pStyle w:val="3"/>
        <w:bidi w:val="0"/>
        <w:rPr>
          <w:szCs w:val="32"/>
        </w:rPr>
      </w:pPr>
      <w:r>
        <w:t>第五章　期货业协会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期货业协会是期货业的自律性组织，是社会团体法人。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期货公司以及其他专门从事期货经营的机构应当加入期货业协会，并缴纳会员费。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期货业协会的权力机构为全体会员组成的会员大会。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期货业协会的章程由会员大会制定，并报国务院期货监督管理机构备案。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期货业协会设理事会。理事会成员按照章程的规定选举产生。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期货业协会履行下列职责：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(一)教育和组织会员遵守期货法律法规和政策；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(二)制定会员应当遵守的行业自律性规则，监督、检查会员行为，对违反协会章程和自律性规则的，按照规定给予纪律处分；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(三)负责期货从业人员资格的认定、管理以及撤销工作；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(四)受理客户与期货业务有关的投诉，对会员之间、会员与客户之间发生的纠纷进行调解；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(五)依法维护会员的合法权益，向国务院期货监督管理机构反映会员的建议和要求；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(六)组织期货从业人员的业务培训，开展会员间的业务交流；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(七)组织会员就期货业的发展、运作以及有关内容进行研究；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(八)期货业协会章程规定的其他职责。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期货业协会的业务活动应当接受国务院期货监督管理机构的指导和监督。</w:t>
      </w:r>
    </w:p>
    <w:p>
      <w:pPr>
        <w:pStyle w:val="3"/>
        <w:bidi w:val="0"/>
        <w:rPr>
          <w:szCs w:val="32"/>
        </w:rPr>
      </w:pPr>
      <w:r>
        <w:t>第六章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国务院期货监督管理机构对期货市场实施监督管理，依法履行下列职责：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(一)制定有关期货市场监督管理的规章、规则，并依法行使审批权；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(二)对品种的上市、交易、结算、交割等期货交易及其相关活动，进行监督管理；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(三)对期货交易所、期货公司及其他期货经营机构、非期货公司结算会员、期货保证金安全存管监控机构、期货保证金存管银行、交割仓库等市场相关参与者的期货业务活动，进行监督管理；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(四)制定期货从业人员的资格标准和管理办法，并监督实施；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(五)监督检查期货交易的信息公开情况；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(六)对期货业协会的活动进行指导和监督；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(七)对违反期货市场监督管理法律、行政法规的行为进行查处；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(八)开展与期货市场监督管理有关的国际交流、合作活动；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(九)法律、行政法规规定的其他职责。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国务院期货监督管理机构依法履行职责，可以采取下列措施：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(一)对期货交易所、期货公司及其他期货经营机构、非期货公司结算会员、期货保证金安全存管监控机构和交割仓库进行现场检查；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(二)进入涉嫌违法行为发生场所调查取证；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(三)询问当事人和与被调查事件有关的单位和个人，要求其对与被调查事件有关的事项作出说明；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(四)查阅、复制与被调查事件有关的财产权登记等资料；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(五)查阅、复制当事人和与被调查事件有关的单位和个人的期货交易记录、财务会计资料以及其他相关文件和资料；对可能被转移、隐匿或者毁损的文件和资料，可以予以封存；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(六)查询与被调查事件有关的单位的保证金账户和银行账户；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在调查操纵期货交易价格、内幕交易等重大期货违法行为时，经国务院期货监督管理机构主要负责人批准，可以限制被调查事件当事人的期货交易，但限制的时间不得超过15个交易日；案情复杂的，可以延长至30个交易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(八)法律、行政法规规定的其他措施。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期货交易所、期货公司及其他期货经营机构、期货保证金安全存管监控机构，应当向国务院期货监督管理机构报送财务会计报告、业务资料和其他有关资料。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期货公司及其他期货经营机构报送的年度报告，国务院期货监督管理机构应当指定专人进行审核，并制作审核报告。审核人员应当在审核报告上签字。审核中发现问题的，国务院期货监督管理机构应当及时采取相应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必要时，国务院期货监督管理机构可以要求非期货公司结算会员、交割仓库，以及期货公司股东、实际控制人或者其他关联人报送相关资料。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国务院期货监督管理机构依法履行职责，进行监督检查或者调查时，被检查、调查的单位和个人应当配合，如实提供有关文件和资料，不得拒绝、阻碍和隐瞒；其他有关部门和单位应当给予支持和配合。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国家根据期货市场发展的需要，设立期货投资者保障基金。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期货投资者保障基金的筹集、管理和使用的具体办法，由国务院期货监督管理机构会同国务院财政部门制定。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国务院期货监督管理机构应当建立、健全保证金安全存管监控制度，设立期货保证金安全存管监控机构。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客户和期货交易所、期货公司及其他期货经营机构、非期货公司结算会员以及期货保证金存管银行，应当遵守国务院期货监督管理机构有关保证金安全存管监控的规定。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期货保证金安全存管监控机构依照有关规定对保证金安全实施监控，进行每日稽核，发现问题应当立即报告国务院期货监督管理机构。国务院期货监督管理机构应当根据不同情况，依照本条例有关规定及时处理。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国务院期货监督管理机构对期货交易所、期货公司及其他期货经营机构和期货保证金安全存管监控机构的董事、监事、高级管理人员以及其他期货从业人员，实行资格管理制度。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国务院期货监督管理机构应当制定期货公司持续性经营规则，对期货公司的净资本与净资产的比例，净资本与境内期货经纪、境外期货经纪等业务规模的比例，流动资产与流动负债的比例等风险监管指标作出规定；对期货公司及其分支机构的经营条件、风险管理、内部控制、保证金存管、关联交易等方面提出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期货公司及其分支机构不符合持续性经营规则或者出现经营风险的，国务院期货监督管理机构可以对期货公司及其董事、监事和高级管理人员采取谈话、提示、记入信用记录等监管措施或者责令期货公司限期整改，并对其整改情况进行检查验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期货公司逾期未改正，其行为严重危及期货公司的稳健运行、损害客户合法权益，或者涉嫌严重违法违规正在被国务院期货监督管理机构调查的，国务院期货监督管理机构可以区别情形，对其采取下列措施：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(一)限制或者暂停部分期货业务；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(二)停止批准新增业务或者分支机构；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(三)限制分配红利，限制向董事、监事、高级管理人员支付报酬、提供福利；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(四)限制转让财产或者在财产上设定其他权利；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(五)责令更换董事、监事、高级管理人员或者有关业务部门、分支机构的负责人员，或者限制其权利；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(六)限制期货公司自有资金或者风险准备金的调拨和使用；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(七)责令控股股东转让股权或者限制有关股东行使股东权利。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对经过整改符合有关法律、行政法规规定以及持续性经营规则要求的期货公司，国务院期货监督管理机构应当自验收完毕之日起3日内解除对其采取的有关措施。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对经过整改仍未达到持续性经营规则要求，严重影响正常经营的期货公司，国务院期货监督管理机构有权撤销其部分或者全部期货业务许可、关闭其分支机构。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期货公司违法经营或者出现重大风险，严重危害期货市场秩序、损害客户利益的，国务院期货监督管理机构可以对该期货公司采取责令停业整顿、指定其他机构托管或者接管等监管措施。经国务院期货监督管理机构批准，可以对该期货公司直接负责的董事、监事、高级管理人员和其他直接责任人员采取以下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(一)通知出境管理机关依法阻止其出境；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(二)申请司法机关禁止其转移、转让或者以其他方式处分财产，或者在财产上设定其他权利。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期货公司的股东有虚假出资或者抽逃出资行为的，国务院期货监督管理机构应当责令其限期改正，并可责令其转让所持期货公司的股权。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在股东按照前款要求改正违法行为、转让所持期货公司的股权前，国务院期货监督管理机构可以限制其股东权利。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当期货市场出现异常情况时，国务院期货监督管理机构可以采取必要的风险处置措施。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期货公司的交易软件、结算软件，应当满足期货公司审慎经营和风险管理以及国务院期货监督管理机构有关保证金安全存管监控规定的要求。期货公司的交易软件、结算软件不符合要求的，国务院期货监督管理机构有权要求期货公司予以改进或者更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国务院期货监督管理机构可以要求期货公司的交易软件、结算软件的供应商提供该软件的相关资料，供应商应当予以配合。国务院期货监督管理机构对供应商提供的相关资料负有保密义务。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期货公司涉及重大诉讼、仲裁，或者股权被冻结或者用于担保，以及发生其他重大事件时，期货公司及其相关股东、实际控制人应当自该事件发生之日起5日内向国务院期货监督管理机构提交书面报告。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会计师事务所、律师事务所、资产评估机构等中介服务机构向期货交易所和期货公司等市场相关参与者提供相关服务时，应当遵守期货法律、行政法规以及国家有关规定，并按照国务院期货监督管理机构的要求提供相关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国务院期货监督管理机构应当与有关部门建立监督管理的信息共享和协调配合机制。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国务院期货监督管理机构可以和其他国家或者地区的期货监督管理机构建立监督管理合作机制，实施跨境监督管理。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国务院期货监督管理机构、期货交易所、期货保证金安全存管监控机构和期货保证金存管银行等相关单位的工作人员，应当忠于职守，依法办事，公正廉洁，保守国家秘密和有关当事人的商业秘密，不得利用职务便利牟取不正当的利益。</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期货交易所、非期货公司结算会员有下列行为之一的，责令改正，给予警告，没收违法所得：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(一)违反规定接纳会员的；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(二)违反规定收取手续费的；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(三)违反规定使用、分配收益的；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(四)不按照规定公布即时行情的，或者发布价格预测信息的；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(五)不按照规定向国务院期货监督管理机构履行报告义务的；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(六)不按照规定向国务院期货监督管理机构报送有关文件、资料的；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(七)不按照规定建立、健全结算担保金制度的；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(八)不按照规定提取、管理和使用风险准备金的；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(九)违反国务院期货监督管理机构有关保证金安全存管监控规定的；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(十)限制会员实物交割总量的；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(十一)任用不具备资格的期货从业人员的；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(十二)违反国务院期货监督管理机构规定的其他行为。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有前款所列行为之一的，对直接负责的主管人员和其他直接责任人员给予纪律处分，处1万元以上10万元以下的罚款。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有本条第一款第二项所列行为的，应当责令退还多收取的手续费。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保证金安全存管监控机构有本条第一款第五项、第六项、第九项、第十一项、第十二项所列行为的，依照本条第一款、第二款的规定处罚、处分。期货保证金存管银行有本条第一款第九项、第十二项所列行为的，依照本条第一款、第二款的规定处罚、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期货交易所有下列行为之一的，责令改正，给予警告，没收违法所得，并处违法所得1倍以上5倍以下的罚款；没有违法所得或者违法所得不满10万元的，并处10万元以上50万元以下的罚款；情节严重的，责令停业整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(一)未经批准，擅自办理本条例第十三条所列事项的；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(二)允许会员在保证金不足的情况下进行期货交易的；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(三)直接或者间接参与期货交易，或者违反规定从事与其职责无关的业务的；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(四)违反规定收取保证金，或者挪用保证金的；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(五)伪造、涂改或者不按照规定保存期货交易、结算、交割资料的；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(六)未建立或者未执行当日无负债结算、涨跌停板、持仓限额和大户持仓报告制度的；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(七)拒绝或者妨碍国务院期货监督管理机构监督检查的；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(八)违反国务院期货监督管理机构规定的其他行为。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有前款所列行为之一的，对直接负责的主管人员和其他直接责任人员给予纪律处分，处1万元以上10万元以下的罚款。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非期货公司结算会员有本条第一款第二项、第四项至第八项所列行为之一的，依照本条第一款、第二款的规定处罚、处分。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期货保证金安全存管监控机构有本条第一款第三项、第七项、第八项所列行为的，依照本条第一款、第二款的规定处罚、处分。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期货公司有下列行为之一的，责令改正，给予警告，没收违法所得，并处违法所得1倍以上3倍以下的罚款；没有违法所得或者违法所得不满10万元的，并处10万元以上30万元以下的罚款；情节严重的，责令停业整顿或者吊销期货业务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(一)接受不符合规定条件的单位或者个人委托的；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(二)允许客户在保证金不足的情况下进行期货交易的；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(三)未经批准，擅自办理本条例第十九条、第二十条所列事项的；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(四)违反规定从事与期货业务无关的活动的；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(五)从事或者变相从事期货自营业务的；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(六)为其股东、实际控制人或者其他关联人提供融资，或者对外担保的；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(七)违反国务院期货监督管理机构有关保证金安全存管监控规定的；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(八)不按照规定向国务院期货监督管理机构履行报告义务或者报送有关文件、资料的；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(九)交易软件、结算软件不符合期货公司审慎经营和风险管理以及国务院期货监督管理机构有关保证金安全存管监控规定的要求的；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(十)不按照规定提取、管理和使用风险准备金的；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(十一)伪造、涂改或者不按照规定保存期货交易、结算、交割资料的；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(十二)任用不具备资格的期货从业人员的；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(十三)伪造、变造、出租、出借、买卖期货业务许可证或者经营许可证的；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(十四)进行混码交易的；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(十五)拒绝或者妨碍国务院期货监督管理机构监督检查的；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(十六)违反国务院期货监督管理机构规定的其他行为。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期货公司有前款所列行为之一的，对直接负责的主管人员和其他直接责任人员给予警告，并处1万元以上5万元以下的罚款；情节严重的，暂停或者撤销任职资格、期货从业人员资格。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期货公司之外的其他期货经营机构有本条第一款第八项、第十二项、第十三项、第十五项、第十六项所列行为的，依照本条第一款、第二款的规定处罚。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的股东、实际控制人或者其他关联人未经批准擅自委托他人或者接受他人委托持有或者管理期货公司股权的，拒不配合国务院期货监督管理机构的检查，拒不按照规定履行报告义务、提供有关信息和资料，或者报送、提供的信息和资料有虚假记载、误导性陈述或者重大遗漏的，依照本条第一款、第二款的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期货公司有下列欺诈客户行为之一的，责令改正，给予警告，没收违法所得，并处违法所得1倍以上5倍以下的罚款；没有违法所得或者违法所得不满10万元的，并处10万元以上50万元以下的罚款；情节严重的，责令停业整顿或者吊销期货业务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(一)向客户作获利保证或者不按照规定向客户出示风险说明书的；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(二)在经纪业务中与客户约定分享利益、共担风险的；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(三)不按照规定接受客户委托或者不按照客户委托内容擅自进行期货交易的；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(四)隐瞒重要事项或者使用其他不正当手段，诱骗客户发出交易指令的；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(五)向客户提供虚假成交回报的；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(六)未将客户交易指令下达到期货交易所的；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(七)挪用客户保证金的；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(八)不按照规定在期货保证金存管银行开立保证金账户，或者违规划转客户保证金的；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(九)国务院期货监督管理机构规定的其他欺诈客户的行为。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期货公司有前款所列行为之一的，对直接负责的主管人员和其他直接责任人员给予警告，并处1万元以上10万元以下的罚款；情节严重的，暂停或者撤销任职资格、期货从业人员资格。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任何单位或者个人编造并且传播有关期货交易的虚假信息，扰乱期货交易市场的，依照本条第一款、第二款的规定处罚。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期货公司及其他期货经营机构、非期货公司结算会员、期货保证金存管银行提供虚假申请文件或者采取其他欺诈手段隐瞒重要事实骗取期货业务许可的，撤销其期货业务许可，没收违法所得。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期货交易内幕信息的知情人或者非法获取期货交易内幕信息的人，在对期货交易价格有重大影响的信息尚未公开前，利用内幕信息从事期货交易，或者向他人泄露内幕信息，使他人利用内幕信息进行期货交易的，没收违法所得，并处违法所得1倍以上5倍以下的罚款；没有违法所得或者违法所得不满10万元的，处10万元以上50万元以下的罚款。单位从事内幕交易的，还应当对直接负责的主管人员和其他直接责任人员给予警告，并处3万元以上30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国务院期货监督管理机构、期货交易所和期货保证金安全存管监控机构的工作人员进行内幕交易的，从重处罚。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任何单位或者个人有下列行为之一，操纵期货交易价格的，责令改正，没收违法所得，并处违法所得1倍以上5倍以下的罚款；没有违法所得或者违法所得不满20万元的，处20万元以上100万元以下的罚款：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(一)单独或者合谋，集中资金优势、持仓优势或者利用信息优势联合或者连续买卖合约，操纵期货交易价格的；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(二)蓄意串通，按事先约定的时间、价格和方式相互进行期货交易，影响期货交易价格或者期货交易量的；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(三)以自己为交易对象，自买自卖，影响期货交易价格或者期货交易量的；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(四)为影响期货市场行情囤积现货的；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(五)国务院期货监督管理机构规定的其他操纵期货交易价格的行为。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单位有前款所列行为之一的，对直接负责的主管人员和其他直接责任人员给予警告，并处1万元以上10万元以下的罚款。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交割仓库有本条例第三十六条第二款所列行为之一的，责令改正，给予警告，没收违法所得，并处违法所得1倍以上5倍以下的罚款；没有违法所得或者违法所得不满10万元的，并处10万元以上50万元以下的罚款；情节严重的，责令期货交易所暂停或者取消其交割仓库资格。对直接负责的主管人员和其他直接责任人员给予警告，并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国有以及国有控股企业违反本条例和国务院国有资产监督管理机构以及其他有关部门关于企业以国有资产进入期货市场的有关规定进行期货交易，或者单位、个人违规使用信贷资金、财政资金进行期货交易的，给予警告，没收违法所得，并处违法所得1倍以上5倍以下的罚款；没有违法所得或者违法所得不满10万元的，并处10万元以上50万元以下的罚款。对直接负责的主管人员和其他直接责任人员给予降级直至开除的纪律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境内单位或者个人违反规定从事境外期货交易的，责令改正，给予警告，没收违法所得，并处违法所得1倍以上5倍以下的罚款；没有违法所得或者违法所得不满20万元的，并处20万元以上100万元以下的罚款；情节严重的，暂停其境外期货交易。对单位直接负责的主管人员和其他直接责任人员给予警告，并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非法设立期货交易场所或者以其他形式组织期货交易活动的，由所在地县级以上地方人民政府予以取缔，没收违法所得，并处违法所得1倍以上5倍以下的罚款；没有违法所得或者违法所得不满20万元的，处20万元以上100万元以下的罚款。对单位直接负责的主管人员和其他直接责任人员给予警告，并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法设立期货公司及其他期货经营机构，或者擅自从事期货业务的，予以取缔，没收违法所得，并处违法所得1倍以上5倍以下的罚款；没有违法所得或者违法所得不满20万元的，处20万元以上100万元以下的罚款。对单位直接负责的主管人员和其他直接责任人员给予警告，并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期货公司的交易软件、结算软件供应商拒不配合国务院期货监督管理机构调查，或者未按照规定向国务院期货监督管理机构提供相关软件资料，或者提供的软件资料有虚假、重大遗漏的，责令改正，处3万元以上10万元以下的罚款。对直接负责的主管人员和其他直接责任人员给予警告，并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会计师事务所、律师事务所、资产评估机构等中介服务机构未勤勉尽责，所出具的文件有虚假记载、误导性陈述或者重大遗漏的，责令改正，没收业务收入，暂停或者撤销相关业务许可，并处业务收入1倍以上5倍以下的罚款。对直接负责的主管人员和其他直接责任人员给予警告，并处3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任何单位或者个人违反本条例规定，情节严重的，由国务院期货监督管理机构宣布该个人、该单位或者该单位的直接责任人员为期货市场禁止进入者。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　</w:t>
      </w:r>
      <w:r>
        <w:rPr>
          <w:rFonts w:hint="eastAsia" w:ascii="仿宋_GB2312" w:hAnsi="仿宋_GB2312" w:eastAsia="仿宋_GB2312" w:cs="仿宋_GB2312"/>
          <w:sz w:val="32"/>
          <w:szCs w:val="32"/>
        </w:rPr>
        <w:t>国务院期货监督管理机构、期货交易所、期货保证金安全存管监控机构和期货保证金存管银行等相关单位的工作人员，泄露知悉的国家秘密或者会员、客户商业秘密，或者徇私舞弊、玩忽职守、滥用职权、收受贿赂的，依法给予行政处分或者纪律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　</w:t>
      </w:r>
      <w:r>
        <w:rPr>
          <w:rFonts w:hint="eastAsia" w:ascii="仿宋_GB2312" w:hAnsi="仿宋_GB2312" w:eastAsia="仿宋_GB2312" w:cs="仿宋_GB2312"/>
          <w:sz w:val="32"/>
          <w:szCs w:val="32"/>
        </w:rPr>
        <w:t>违反本条例规定，构成犯罪的，依法追究刑事责任。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　</w:t>
      </w:r>
      <w:r>
        <w:rPr>
          <w:rFonts w:hint="eastAsia" w:ascii="仿宋_GB2312" w:hAnsi="仿宋_GB2312" w:eastAsia="仿宋_GB2312" w:cs="仿宋_GB2312"/>
          <w:sz w:val="32"/>
          <w:szCs w:val="32"/>
        </w:rPr>
        <w:t>对本条例规定的违法行为的行政处罚，除本条例已有规定的外，由国务院期货监督管理机构决定；涉及其他有关部门法定职权的，国务院期货监督管理机构应当会同其他有关部门处理；属于其他有关部门法定职权的，国务院期货监督管理机构应当移交其他有关部门处理。</w:t>
      </w:r>
    </w:p>
    <w:p>
      <w:pPr>
        <w:pStyle w:val="3"/>
        <w:bidi w:val="0"/>
        <w:rPr>
          <w:szCs w:val="32"/>
        </w:rPr>
      </w:pPr>
      <w:r>
        <w:t>第八章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　</w:t>
      </w:r>
      <w:r>
        <w:rPr>
          <w:rFonts w:hint="eastAsia" w:ascii="仿宋_GB2312" w:hAnsi="仿宋_GB2312" w:eastAsia="仿宋_GB2312" w:cs="仿宋_GB2312"/>
          <w:sz w:val="32"/>
          <w:szCs w:val="32"/>
        </w:rPr>
        <w:t>本条例下列用语的含义：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(一)商品期货合约，是指以农产品、工业品、能源和其他商品及其相关指数产品为标的物的期货合约。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(二)金融期货合约，是指以有价证券、利率、汇率等金融产品及其相关指数产品为标的物的期货合约。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(三)保证金，是指期货交易者按照规定交纳的资金或者提交的价值稳定、流动性强的标准仓单、国债等有价证券，用于结算和保证履约。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(四)结算，是指根据期货交易所公布的结算价格对交易双方的交易结果进行的资金清算和划转。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(五)交割，是指合约到期时，按照期货交易所的规则和程序，交易双方通过该合约所载标的物所有权的转移，或者按照规定结算价格进行现金差价结算，了结到期未平仓合约的过程。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(六)平仓，是指期货交易者买入或者卖出与其所持合约的品种、数量和交割月份相同但交易方向相反的合约，了结期货交易的行为。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(七)持仓量，是指期货交易者所持有的未平仓合约的数量。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(八)持仓限额，是指期货交易所对期货交易者的持仓量规定的最高数额。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(九)标准仓单，是指交割仓库开具并经期货交易所认定的标准化提货凭证。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(十)涨跌停板，是指合约在1个交易日中的交易价格不得高于或者低于规定的涨跌幅度，超出该涨跌幅度的报价将被视为无效，不能成交。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内幕信息，是指可能对期货交易价格产生重大影响的尚未公开的信息，包括：国务院期货监督管理机构以及其他相关部门制定的对期货交易价格可能发生重大影响的政策，期货交易所作出的可能对期货交易价格发生重大影响的决定，期货交易所会员、客户的资金和交易动向以及国务院期货监督管理机构认定的对期货交易价格有显著影响的其他重要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内幕信息的知情人员，是指由于其管理地位、监督地位或者职业地位，或者作为雇员、专业顾问履行职务，能够接触或者获得内幕信息的人员，包括：期货交易所的管理人员以及其他由于任职可获取内幕信息的从业人员，国务院期货监督管理机构和其他有关部门的工作人员以及国务院期货监督管理机构规定的其他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第八十三条　</w:t>
      </w:r>
      <w:r>
        <w:rPr>
          <w:rFonts w:hint="eastAsia" w:ascii="仿宋_GB2312" w:hAnsi="仿宋_GB2312" w:eastAsia="仿宋_GB2312" w:cs="仿宋_GB2312"/>
          <w:sz w:val="32"/>
          <w:szCs w:val="32"/>
        </w:rPr>
        <w:t>国务院期货监督管理机构可以批准设立期货专门结算机构，专门履行期货交易所的结算以及相关职责，并承担相应法律责任。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第八十四条　</w:t>
      </w:r>
      <w:r>
        <w:rPr>
          <w:rFonts w:hint="eastAsia" w:ascii="仿宋_GB2312" w:hAnsi="仿宋_GB2312" w:eastAsia="仿宋_GB2312" w:cs="仿宋_GB2312"/>
          <w:sz w:val="32"/>
          <w:szCs w:val="32"/>
        </w:rPr>
        <w:t>境外机构在境内设立、收购或者参股期货经营机构，以及境外期货经营机构在境内设立分支机构(含代表处)的管理办法，由国务院期货监督管理机构会同国务院商务主管部门、外汇管理部门等有关部门制订，报国务院批准后施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第八十五条　</w:t>
      </w:r>
      <w:r>
        <w:rPr>
          <w:rFonts w:hint="eastAsia" w:ascii="仿宋_GB2312" w:hAnsi="仿宋_GB2312" w:eastAsia="仿宋_GB2312" w:cs="仿宋_GB2312"/>
          <w:sz w:val="32"/>
          <w:szCs w:val="32"/>
        </w:rPr>
        <w:t>在期货交易所之外的国务院期货监督管理机构批准的交易场所进行的期货交易，依照本条例的有关规定执行。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第八十六条　</w:t>
      </w:r>
      <w:r>
        <w:rPr>
          <w:rFonts w:hint="eastAsia" w:ascii="仿宋_GB2312" w:hAnsi="仿宋_GB2312" w:eastAsia="仿宋_GB2312" w:cs="仿宋_GB2312"/>
          <w:sz w:val="32"/>
          <w:szCs w:val="32"/>
        </w:rPr>
        <w:t>不属于期货交易的商品或者金融产品的其他交易活动，由国家有关部门监督管理，不适用本条例。</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第八十七条　</w:t>
      </w:r>
      <w:r>
        <w:rPr>
          <w:rFonts w:hint="eastAsia" w:ascii="仿宋_GB2312" w:hAnsi="仿宋_GB2312" w:eastAsia="仿宋_GB2312" w:cs="仿宋_GB2312"/>
          <w:sz w:val="32"/>
          <w:szCs w:val="32"/>
        </w:rPr>
        <w:t>本条例自2007年4月15日起施行。1999年6月2日国务院发布的《期货交易管理暂行条例》同时废止。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3B4FBE"/>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3A20C1"/>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6C662A"/>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9E412F"/>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0E90CC0"/>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100</Words>
  <Characters>115</Characters>
  <Lines>69</Lines>
  <Paragraphs>19</Paragraphs>
  <TotalTime>1</TotalTime>
  <ScaleCrop>false</ScaleCrop>
  <LinksUpToDate>false</LinksUpToDate>
  <CharactersWithSpaces>117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2022-06-03T10:24:58Z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