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传统工艺美术保护条例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16" w:firstLineChars="200"/>
        <w:rPr>
          <w:rFonts w:hint="eastAsia" w:ascii="楷体_GB2312" w:hAnsi="楷体_GB2312" w:eastAsia="楷体_GB2312" w:cs="楷体_GB2312"/>
          <w:spacing w:val="-6"/>
          <w:sz w:val="32"/>
          <w:szCs w:val="32"/>
          <w:lang w:val="en-US" w:eastAsia="zh-CN"/>
        </w:rPr>
      </w:pPr>
      <w:r>
        <w:rPr>
          <w:rFonts w:hint="eastAsia" w:ascii="楷体_GB2312" w:hAnsi="楷体_GB2312" w:eastAsia="楷体_GB2312" w:cs="楷体_GB2312"/>
          <w:spacing w:val="-6"/>
          <w:sz w:val="32"/>
          <w:szCs w:val="32"/>
        </w:rPr>
        <w:t>(1997年5月20日中华人民共和国国务院令第217号发布　自发布之日起施行</w:t>
      </w:r>
      <w:r>
        <w:rPr>
          <w:rFonts w:hint="eastAsia" w:ascii="楷体_GB2312" w:hAnsi="楷体_GB2312" w:eastAsia="楷体_GB2312" w:cs="楷体_GB2312"/>
          <w:spacing w:val="-6"/>
          <w:sz w:val="32"/>
          <w:szCs w:val="32"/>
          <w:lang w:val="en-US" w:eastAsia="zh-CN"/>
        </w:rPr>
        <w:t>)</w:t>
      </w:r>
    </w:p>
    <w:p>
      <w:pPr>
        <w:pStyle w:val="11"/>
        <w:ind w:firstLine="616" w:firstLineChars="200"/>
        <w:rPr>
          <w:rFonts w:hint="eastAsia" w:ascii="楷体_GB2312" w:hAnsi="楷体_GB2312" w:eastAsia="楷体_GB2312" w:cs="楷体_GB2312"/>
          <w:spacing w:val="-6"/>
          <w:sz w:val="32"/>
          <w:szCs w:val="32"/>
          <w:lang w:val="en-US" w:eastAsia="zh-CN"/>
        </w:rPr>
      </w:pP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为了保护传统工艺美术，促进传统工艺美术事业的繁荣与发展，制定本条例。</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本条例所称传统工艺美术，是指百年以上，历史悠久，技艺精湛，世代相传，有完整的工艺流程，采用天然原材料制作，具有鲜明的民族风格和地方特色，在国内外享有声誉的手工艺品种和技艺。</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国家对传统工艺美术品种和技艺实行保护、发展</w:t>
      </w:r>
      <w:r>
        <w:rPr>
          <w:rFonts w:hint="eastAsia" w:hAnsi="宋体" w:eastAsia="仿宋_GB2312" w:cs="宋体"/>
          <w:sz w:val="32"/>
          <w:szCs w:val="32"/>
        </w:rPr>
        <w:t>、提高的方针。</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地方各级人民政府应当加强对传统工艺美术保护工作的领导，采取有效措施，扶持和促进本地区传统工艺美术事业的繁荣和发展。</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国务院负责传统工艺美术保护工作的部门负责全国传统工艺美术保护工作。</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国家对传统工艺美术品种和技艺实行认定制度。符合本条例第二条规定条件的工艺美术品种和技艺，依照本条例的规定认定为传统工艺美术品种和技艺。</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传统工艺美术品种和技艺，由国务院负责传统工</w:t>
      </w:r>
      <w:r>
        <w:rPr>
          <w:rFonts w:hint="eastAsia" w:hAnsi="宋体" w:eastAsia="仿宋_GB2312" w:cs="宋体"/>
          <w:sz w:val="32"/>
          <w:szCs w:val="32"/>
        </w:rPr>
        <w:t>艺美术保护工作的部门聘请专家组成评审委员会进行评审；国务院负责传统工艺美术保护工作的部门根据评审委员会的评审结论，予以认定和公布。</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制作传统工艺美术产品的企业和个人，可以向当地县级人民政府负责传统工艺美术保护工作的部门提出要求保护的品种和技艺的申请，由省、自治区、直辖市人民政府负责传统工艺美术保护工作的部门审核后，向国务院负责传统工艺美术保护工作的部门推荐。</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申请认定传统工艺美术品种和技艺的企业和个人，应当按照国务院负</w:t>
      </w:r>
      <w:r>
        <w:rPr>
          <w:rFonts w:hint="eastAsia" w:hAnsi="宋体" w:eastAsia="仿宋_GB2312" w:cs="宋体"/>
          <w:sz w:val="32"/>
          <w:szCs w:val="32"/>
        </w:rPr>
        <w:t>责传统工艺美术保护工作的部门的规定，提交完整、详实的资料。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国家对认定</w:t>
      </w:r>
      <w:r>
        <w:rPr>
          <w:rFonts w:hint="eastAsia" w:ascii="仿宋_GB2312" w:hAnsi="仿宋_GB2312" w:eastAsia="仿宋_GB2312" w:cs="仿宋_GB2312"/>
          <w:sz w:val="32"/>
          <w:szCs w:val="32"/>
        </w:rPr>
        <w:t>的传统工艺美术技艺采取下列保护措施：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(一)搜集、整理、建立档案；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(二)征集、收藏优秀代表作品；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(三)对其工艺技术秘密确定密级，依法实施保密；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(四)资助研究，培养人才。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传统工艺美术品种中的卓越作品，经国务院负责传统工艺</w:t>
      </w:r>
      <w:r>
        <w:rPr>
          <w:rFonts w:hint="eastAsia" w:ascii="仿宋_GB2312" w:hAnsi="仿宋_GB2312" w:eastAsia="仿宋_GB2312" w:cs="仿宋_GB2312"/>
          <w:sz w:val="32"/>
          <w:szCs w:val="32"/>
        </w:rPr>
        <w:t>美术保护工作的部门聘请专家组成评审委员会进行评审后，由国务院负责传统工艺美术保护工作的部门命名为中国工艺美术珍品(以下简称珍品)。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国家对</w:t>
      </w:r>
      <w:r>
        <w:rPr>
          <w:rFonts w:hint="eastAsia" w:ascii="仿宋_GB2312" w:hAnsi="仿宋_GB2312" w:eastAsia="仿宋_GB2312" w:cs="仿宋_GB2312"/>
          <w:sz w:val="32"/>
          <w:szCs w:val="32"/>
        </w:rPr>
        <w:t>珍品采取下列保护措施：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(一)国家征集、收购的珍品由中国工艺美术馆或者省、自治区、直辖市工艺美术馆、博物馆珍藏。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(二)珍品禁止出口。珍品出国展览必须经国务院负责传统工艺美术保护工作的部门会同国务院有关部门批准。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符合下列条</w:t>
      </w:r>
      <w:r>
        <w:rPr>
          <w:rFonts w:hint="eastAsia" w:ascii="仿宋_GB2312" w:hAnsi="仿宋_GB2312" w:eastAsia="仿宋_GB2312" w:cs="仿宋_GB2312"/>
          <w:sz w:val="32"/>
          <w:szCs w:val="32"/>
        </w:rPr>
        <w:t>件并长期从事传统工艺美术制作的人员，经评审委员会评审，国务院负责传统工艺美术保护工作的部门可以授予中国工艺美术大师称号：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(一)成就卓越，在国内外享有声誉的；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(二)技艺精湛，自成流派的。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各级人民政</w:t>
      </w:r>
      <w:r>
        <w:rPr>
          <w:rFonts w:hint="eastAsia" w:ascii="仿宋_GB2312" w:hAnsi="仿宋_GB2312" w:eastAsia="仿宋_GB2312" w:cs="仿宋_GB2312"/>
          <w:sz w:val="32"/>
          <w:szCs w:val="32"/>
        </w:rPr>
        <w:t>府和有关部门、单位应当关心和支持工艺美术大师的创作，按照下列规定为他们创造良好的工作环境和条件：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(一)工艺美术大师所在单位为其设立大师工作室；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(二)工艺美术大师有权在其作品上镂刻姓名；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(三)为工艺美术大师带徒传艺创造便利条件；</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(四)工艺美术大师的退休年龄可以按照国家有关规定适当</w:t>
      </w:r>
      <w:r>
        <w:rPr>
          <w:rFonts w:hAnsi="宋体" w:eastAsia="仿宋_GB2312" w:cs="宋体"/>
          <w:sz w:val="32"/>
          <w:szCs w:val="32"/>
        </w:rPr>
        <w:t>推迟。</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县级以上人民政府有关部门对制作传统工艺美术品种特需的天然原料、材料，应当统筹规划、妥善安排。</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对制作传统工艺美术品种特需的宝石、玉石等珍稀矿种，国家依法加强保护，严禁乱采滥挖。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国家鼓励地</w:t>
      </w:r>
      <w:r>
        <w:rPr>
          <w:rFonts w:hint="eastAsia" w:ascii="仿宋_GB2312" w:hAnsi="仿宋_GB2312" w:eastAsia="仿宋_GB2312" w:cs="仿宋_GB2312"/>
          <w:sz w:val="32"/>
          <w:szCs w:val="32"/>
        </w:rPr>
        <w:t>方各级人民政府根据本地区实际情况，采取必要措施，发掘和抢救传统工艺美术技艺，征集传统工艺美术精品，培养传统工艺美术技艺人才，资助传统工艺美术科学研究。</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对于制作经济效益不高、艺术价值很高并且面临失传的工艺美术品种的企业，各级人民政府应当采取必要措施，给予扶持和帮助。</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制作传统工艺美术产品的企业应当建立、健全传统工艺美术技艺的保护或者保密制度，切实加强对传统工艺美术技艺的管理。</w:t>
      </w:r>
    </w:p>
    <w:p>
      <w:pPr>
        <w:pStyle w:val="11"/>
        <w:ind w:firstLine="640" w:firstLineChars="200"/>
        <w:rPr>
          <w:rFonts w:hAnsi="宋体" w:eastAsia="仿宋_GB2312" w:cs="宋体"/>
          <w:sz w:val="32"/>
          <w:szCs w:val="32"/>
        </w:rPr>
      </w:pPr>
      <w:r>
        <w:rPr>
          <w:rFonts w:hAnsi="宋体" w:eastAsia="仿宋_GB2312" w:cs="宋体"/>
          <w:sz w:val="32"/>
          <w:szCs w:val="32"/>
        </w:rPr>
        <w:t>从事传统工艺美术产品制作的人员，应当遵守国家有关法律、法规的规定，不得泄露在制作传统工艺美术产品过程中知悉的技术秘密和其他商业秘密。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国家对在继承、保护、发展传统工艺美术事业中做出突出贡献的单位和个人，给予奖励。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违反本条例规</w:t>
      </w:r>
      <w:r>
        <w:rPr>
          <w:rFonts w:hint="eastAsia" w:ascii="仿宋_GB2312" w:hAnsi="仿宋_GB2312" w:eastAsia="仿宋_GB2312" w:cs="仿宋_GB2312"/>
          <w:sz w:val="32"/>
          <w:szCs w:val="32"/>
        </w:rPr>
        <w:t>定，有下列行为之一的，由有关部门依照有关法律、行政法规的规定，给予行政处分或者行政处罚；构成犯罪的，依法追究刑事责任：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(一)窃取或者泄露传统工艺美术技艺秘密的；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(二)非法开采用于制作传统工艺美术的珍稀矿产资源或者盗卖用于制作传统工艺美术的珍稀矿产品的；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(三)私运珍品出境的。</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制作、出售假冒中国工艺美术大师署名的传统工艺美术作品的，应当依法承担民事责任；有关部门可以依照有关法律、行政法规的规定给予行政处罚。</w:t>
      </w:r>
    </w:p>
    <w:p>
      <w:pPr>
        <w:pStyle w:val="11"/>
        <w:ind w:firstLine="640" w:firstLineChars="200"/>
        <w:rPr>
          <w:rFonts w:hint="eastAsia" w:ascii="楷体_GB2312" w:hAnsi="楷体_GB2312" w:eastAsia="楷体_GB2312" w:cs="楷体_GB2312"/>
          <w:spacing w:val="-6"/>
          <w:sz w:val="32"/>
          <w:szCs w:val="32"/>
          <w:lang w:val="en-US" w:eastAsia="zh-CN"/>
        </w:rPr>
      </w:pPr>
      <w:r>
        <w:rPr>
          <w:rFonts w:hint="eastAsia" w:ascii="方正黑体_GBK" w:hAnsi="方正黑体_GBK" w:eastAsia="方正黑体_GBK" w:cs="方正黑体_GBK"/>
          <w:sz w:val="32"/>
          <w:szCs w:val="32"/>
        </w:rPr>
        <w:t>第二十一条</w:t>
      </w:r>
      <w:r>
        <w:rPr>
          <w:rFonts w:hAnsi="宋体" w:eastAsia="仿宋_GB2312" w:cs="宋体"/>
          <w:sz w:val="32"/>
          <w:szCs w:val="32"/>
        </w:rPr>
        <w:t>　本条例</w:t>
      </w:r>
      <w:bookmarkStart w:id="0" w:name="_GoBack"/>
      <w:r>
        <w:rPr>
          <w:rFonts w:hint="eastAsia" w:ascii="仿宋_GB2312" w:hAnsi="仿宋_GB2312" w:eastAsia="仿宋_GB2312" w:cs="仿宋_GB2312"/>
          <w:sz w:val="32"/>
          <w:szCs w:val="32"/>
        </w:rPr>
        <w:t>自发布之日起施</w:t>
      </w:r>
      <w:bookmarkEnd w:id="0"/>
      <w:r>
        <w:rPr>
          <w:rFonts w:hAnsi="宋体" w:eastAsia="仿宋_GB2312" w:cs="宋体"/>
          <w:sz w:val="32"/>
          <w:szCs w:val="32"/>
        </w:rPr>
        <w:t>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14</Pages>
  <Words>5808</Words>
  <Characters>5825</Characters>
  <Lines>69</Lines>
  <Paragraphs>19</Paragraphs>
  <TotalTime>1</TotalTime>
  <ScaleCrop>false</ScaleCrop>
  <LinksUpToDate>false</LinksUpToDate>
  <CharactersWithSpaces>5888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2022-05-27T13:10:54Z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