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中华人民共和国野生植物保护条例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(1996年9月30日中华人民共和国国务院令第204号发布　自</w:t>
      </w:r>
      <w:r>
        <w:rPr>
          <w:rFonts w:hint="eastAsia" w:ascii="楷体_GB2312" w:hAnsi="楷体_GB2312" w:eastAsia="楷体_GB2312" w:cs="楷体_GB2312"/>
          <w:spacing w:val="0"/>
          <w:sz w:val="32"/>
          <w:szCs w:val="32"/>
        </w:rPr>
        <w:t>1997年1月1日起施行</w:t>
      </w:r>
      <w:r>
        <w:rPr>
          <w:rFonts w:hint="eastAsia" w:ascii="楷体_GB2312" w:hAnsi="楷体_GB2312" w:eastAsia="楷体_GB2312" w:cs="楷体_GB2312"/>
          <w:spacing w:val="0"/>
          <w:sz w:val="32"/>
          <w:szCs w:val="32"/>
          <w:lang w:val="en-US" w:eastAsia="zh-CN"/>
        </w:rPr>
        <w:t>)</w:t>
      </w:r>
    </w:p>
    <w:p>
      <w:pPr>
        <w:pStyle w:val="3"/>
      </w:pPr>
      <w:r>
        <w:rPr>
          <w:rFonts w:hAnsi="宋体" w:cs="宋体"/>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为了保护、发展和合理利用野生植物资源，保护生物多样性，维护生态平衡，制定本条例。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在中华人民共和国境内从事野生植物的保护、发展和利用活动，必须遵守本条例。</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本条例所保护的野生植物，是指原生地天然生长的珍贵植物和原生地天然生长并具有重要经济、科学研究、文化价值的濒危、稀有植物。</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药用野生植物和城市园林、自然保护区、风景名胜区内的野生植物的保护，同时适用有关法律、行政法规。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国家对野生植物资源实行加强保护、积极发展、合理利用的方针。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国家保护依法开发利用和经营管理野生植物资源的单位和个人的合法权益。</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国家鼓励和支持野生植物科学研究</w:t>
      </w:r>
      <w:r>
        <w:rPr>
          <w:rFonts w:hint="eastAsia" w:hAnsi="宋体" w:eastAsia="仿宋_GB2312" w:cs="宋体"/>
          <w:sz w:val="32"/>
          <w:szCs w:val="32"/>
        </w:rPr>
        <w:t>、野生植物的就地保护和迁地保护。</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在野生植物资源保护、科学研究、培育利用和宣传教育方面成绩显著的单位和个人，由人民政府给予奖励。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县级以上各级人民政府有关主管部门应当开展保护野生植物的宣传教育，普及野生植物知识，提高公民保护野生植物的意识。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任何单位和个人都有保护野生植物资源的义务，对侵占或者破坏野生植物及其生长环境的行为有权检举和控告。</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国务院林业行政主管部门主管全国林区内</w:t>
      </w:r>
      <w:r>
        <w:rPr>
          <w:rFonts w:hint="eastAsia" w:hAnsi="宋体" w:eastAsia="仿宋_GB2312" w:cs="宋体"/>
          <w:sz w:val="32"/>
          <w:szCs w:val="32"/>
        </w:rPr>
        <w:t>野生植物和林区外珍贵野生树木的监督管理工作。国务院农业行政主管部门主管全国其他野生植物的监督管理工作。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务院建设行政部门负责城市园林、风景名胜区内野生植物的监督管理工作。国务院环境保护部门负责对全国野生植物环境保护工作的协调和监督。国务院其他有关部门依照职责分工负责有关的野生植物保护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县级以上地方人民政府负责野生植物管理工作的部门及其职责，由省、自治区、直辖市人民政府根据当地具体情况规定。</w:t>
      </w:r>
    </w:p>
    <w:p>
      <w:pPr>
        <w:pStyle w:val="3"/>
        <w:bidi w:val="0"/>
        <w:rPr>
          <w:szCs w:val="32"/>
        </w:rPr>
      </w:pPr>
      <w:r>
        <w:t>第二章　野生植物保护</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国家保护野生植物及其生长环境。禁</w:t>
      </w:r>
      <w:r>
        <w:rPr>
          <w:rFonts w:hint="eastAsia" w:hAnsi="宋体" w:eastAsia="仿宋_GB2312" w:cs="宋体"/>
          <w:sz w:val="32"/>
          <w:szCs w:val="32"/>
        </w:rPr>
        <w:t>止任何单位和个人非法采集野生植物或者破坏其生长环境。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野生植物分为国家重点保护野生植物和地方重点保护野生植物。</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国家重点保护野生植物分为国家一级保护野生植物和国家二级保护野生</w:t>
      </w:r>
      <w:r>
        <w:rPr>
          <w:rFonts w:hint="eastAsia" w:ascii="仿宋_GB2312" w:hAnsi="仿宋_GB2312" w:eastAsia="仿宋_GB2312" w:cs="仿宋_GB2312"/>
          <w:sz w:val="32"/>
          <w:szCs w:val="32"/>
        </w:rPr>
        <w:t>植物。国家重点保护野生植物名录，由国务院林业行政主管部门、农业行政主管部门(以下简称国务院野生植物行政主管部门)商国务院环境保护、建设等有关部门制定，报国务院批准公布。</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地方重点保护野生植物，是指国家重点保护野生植物以外，由省、自治区、直辖市保护的野生植物。</w:t>
      </w:r>
      <w:r>
        <w:rPr>
          <w:rFonts w:hAnsi="宋体" w:eastAsia="仿宋_GB2312" w:cs="宋体"/>
          <w:sz w:val="32"/>
          <w:szCs w:val="32"/>
        </w:rPr>
        <w:t>地方重点保护野生植物名录，由省、自</w:t>
      </w:r>
      <w:r>
        <w:rPr>
          <w:rFonts w:hint="eastAsia" w:hAnsi="宋体" w:eastAsia="仿宋_GB2312" w:cs="宋体"/>
          <w:sz w:val="32"/>
          <w:szCs w:val="32"/>
        </w:rPr>
        <w:t>治区、直辖市人民政府制定并公布，报国务院备案。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在国家重点保护野生植物物种和地方重点保护野生植物物种的天然集中</w:t>
      </w:r>
      <w:r>
        <w:rPr>
          <w:rFonts w:hint="eastAsia" w:ascii="仿宋_GB2312" w:hAnsi="仿宋_GB2312" w:eastAsia="仿宋_GB2312" w:cs="仿宋_GB2312"/>
          <w:sz w:val="32"/>
          <w:szCs w:val="32"/>
        </w:rPr>
        <w:t>分布区域，应当依照有关法律、行政法规的规定，建立自然保护区；在其他区域，县级以上地方人民政府野生植物行政主管部门和其他有关部门可以根据实际情况建立国家重点保护野生植物和地方重点保护野生植物的保护点或者设立保护标志。</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禁止破坏国家重点保护野生植物和地方重点保护</w:t>
      </w:r>
      <w:r>
        <w:rPr>
          <w:rFonts w:hAnsi="宋体" w:eastAsia="仿宋_GB2312" w:cs="宋体"/>
          <w:sz w:val="32"/>
          <w:szCs w:val="32"/>
        </w:rPr>
        <w:t>野生植物的保护点的保护设施和保护标志。</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野生植物行</w:t>
      </w:r>
      <w:r>
        <w:rPr>
          <w:rFonts w:hint="eastAsia" w:hAnsi="宋体" w:eastAsia="仿宋_GB2312" w:cs="宋体"/>
          <w:sz w:val="32"/>
          <w:szCs w:val="32"/>
        </w:rPr>
        <w:t>政主管部门及其他有关部门应当监视、监测环境对国家重点保护野生植物生长和地方重点保护野生植物生长的影响，并采取措</w:t>
      </w:r>
      <w:r>
        <w:rPr>
          <w:rFonts w:hint="eastAsia" w:ascii="仿宋_GB2312" w:hAnsi="仿宋_GB2312" w:eastAsia="仿宋_GB2312" w:cs="仿宋_GB2312"/>
          <w:sz w:val="32"/>
          <w:szCs w:val="32"/>
        </w:rPr>
        <w:t>施，维护和改善国家重点保护野生植物和地方重点保护野生植物的生长条件。由于环境影响对国家重点保护野生植物和地方重点保护野生植物的生长造成危害时，野生植物行政主管部门应当会同其他有关部门调查并</w:t>
      </w:r>
      <w:r>
        <w:rPr>
          <w:rFonts w:hint="eastAsia" w:hAnsi="宋体" w:eastAsia="仿宋_GB2312" w:cs="宋体"/>
          <w:sz w:val="32"/>
          <w:szCs w:val="32"/>
        </w:rPr>
        <w:t>依法处理。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建设项目对国家重点保护野生植物和地方重点保护野生植物的生长环境产生不利影响的，建设单位提交的环境影响报告书中必须对此作出评价；环境保护部门在审批环境影响报</w:t>
      </w:r>
      <w:r>
        <w:rPr>
          <w:rFonts w:hint="eastAsia" w:hAnsi="宋体" w:eastAsia="仿宋_GB2312" w:cs="宋体"/>
          <w:sz w:val="32"/>
          <w:szCs w:val="32"/>
        </w:rPr>
        <w:t>告书时，应当征求野生植物行政主管部门的意见。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野生植物行政主管部门和有关单位对生长受到威胁的国家重点保护野生植物和地方重点保护野生植物应当采取拯救措施，保护或者恢复其生长环境，必要时应当建立繁育基地、种质资源库或者采取迁地保护措施。</w:t>
      </w:r>
    </w:p>
    <w:p>
      <w:pPr>
        <w:pStyle w:val="3"/>
        <w:bidi w:val="0"/>
        <w:rPr>
          <w:szCs w:val="32"/>
        </w:rPr>
      </w:pPr>
      <w:r>
        <w:t>第三章　野生植物管理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野生植物行政主管部门应当定期组织国家重点保护野生植物和地方重点保护野生植物资源调查，建立资源档案。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禁止采</w:t>
      </w:r>
      <w:r>
        <w:rPr>
          <w:rFonts w:hint="eastAsia" w:hAnsi="宋体" w:eastAsia="仿宋_GB2312" w:cs="宋体"/>
          <w:sz w:val="32"/>
          <w:szCs w:val="32"/>
        </w:rPr>
        <w:t>集国家一级保护野生植物。因科学研究、人工培育、文化交流等特殊需要，采集国家一级保护野生植物的，必须经采集地的省、自治区、直辖市人民政府野生植物行政主管部门签署意见后，向国务院野生植物行政主管部门或者其授权的机构申请采集证。</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采集国家二级</w:t>
      </w:r>
      <w:r>
        <w:rPr>
          <w:rFonts w:hint="eastAsia" w:ascii="仿宋_GB2312" w:hAnsi="仿宋_GB2312" w:eastAsia="仿宋_GB2312" w:cs="仿宋_GB2312"/>
          <w:sz w:val="32"/>
          <w:szCs w:val="32"/>
        </w:rPr>
        <w:t>保护野生植物的，必须经采集地的县级人民政府野生植物行政主管部门签署意见后，向省、自治区、直辖市人民政府野生植物行政主管部门或者其授权的机构申请采集证。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采集城市园林或者风景名胜区内的国家一级或者二级保护野生植物的，须先征得城市园林或者风景名胜区管理机构同意，分别依照前两款的规定申请采集证。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采集珍贵野生树木或者林区内、草原上的野生植物的，依照森林法、草原法的规定办理。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野生植物行政主管部门发放采集证后，应当抄送环境保护部门备案。</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采集证的格式由国务院野生植物行政主管部门制定。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采集国家重点保护野生植物的单位和个人，必须按照采集证规定的种类、数量</w:t>
      </w:r>
      <w:r>
        <w:rPr>
          <w:rFonts w:hint="eastAsia" w:ascii="仿宋_GB2312" w:hAnsi="仿宋_GB2312" w:eastAsia="仿宋_GB2312" w:cs="仿宋_GB2312"/>
          <w:sz w:val="32"/>
          <w:szCs w:val="32"/>
        </w:rPr>
        <w:t>、地点、期限和方法进行采集。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县级人民政府野生植物行政主管部门对在本行政区域内采集国家重点保护野生植物的活动，应当进行监督检查，并及时报告批准采集的野生植物行政主管部门或者其授权的机构。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禁止出售、收购国家一级保护野生植物。</w:t>
      </w:r>
    </w:p>
    <w:p>
      <w:pPr>
        <w:pStyle w:val="11"/>
        <w:ind w:firstLine="640" w:firstLineChars="200"/>
        <w:rPr>
          <w:rFonts w:hAnsi="宋体" w:eastAsia="仿宋_GB2312" w:cs="宋体"/>
          <w:sz w:val="32"/>
          <w:szCs w:val="32"/>
        </w:rPr>
      </w:pPr>
      <w:r>
        <w:rPr>
          <w:rFonts w:hAnsi="宋体" w:eastAsia="仿宋_GB2312" w:cs="宋体"/>
          <w:sz w:val="32"/>
          <w:szCs w:val="32"/>
        </w:rPr>
        <w:t>出售、收购国家二级保护</w:t>
      </w:r>
      <w:r>
        <w:rPr>
          <w:rFonts w:hint="eastAsia" w:ascii="仿宋_GB2312" w:hAnsi="仿宋_GB2312" w:eastAsia="仿宋_GB2312" w:cs="仿宋_GB2312"/>
          <w:sz w:val="32"/>
          <w:szCs w:val="32"/>
        </w:rPr>
        <w:t>野生植物的，必须经省、自治区、直辖市人民政府野生植物行政主管部门或者其授权的机构批</w:t>
      </w:r>
      <w:r>
        <w:rPr>
          <w:rFonts w:hAnsi="宋体" w:eastAsia="仿宋_GB2312" w:cs="宋体"/>
          <w:sz w:val="32"/>
          <w:szCs w:val="32"/>
        </w:rPr>
        <w:t>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野生植物行政主管部门应当对经营利用国家二级保护野生植物的活动进行监督检查。</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出口国家重点保护野生植物或者进出口中国参加的国际公约所限制进出口的野生植物的，必须经进出口者所在地的省、自治区、直辖市人民</w:t>
      </w:r>
      <w:r>
        <w:rPr>
          <w:rFonts w:hint="eastAsia" w:ascii="仿宋_GB2312" w:hAnsi="仿宋_GB2312" w:eastAsia="仿宋_GB2312" w:cs="仿宋_GB2312"/>
          <w:sz w:val="32"/>
          <w:szCs w:val="32"/>
        </w:rPr>
        <w:t>政府野生植物行政主管部门审核，报国务院野生植物行政主管部门批准，并取得国家濒危物种进出口管理机构核发的允许进出口证明书或者标签。海关凭允许进出口证明书或者标签查验放行。国务院野生植物行政主管部门应当将有关野生植物进出口的资料抄送国务院环境保护部门。</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禁止出口未定名的或者新发现并有重要价值的野生植物。</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外国人不得在中国境内采集或者收购国家重点保护野生植物。</w:t>
      </w:r>
    </w:p>
    <w:p>
      <w:pPr>
        <w:pStyle w:val="11"/>
        <w:ind w:firstLine="640" w:firstLineChars="200"/>
        <w:rPr>
          <w:rFonts w:hint="eastAsia" w:hAnsi="宋体" w:eastAsia="仿宋_GB2312" w:cs="宋体"/>
          <w:sz w:val="32"/>
          <w:szCs w:val="32"/>
        </w:rPr>
      </w:pPr>
      <w:r>
        <w:rPr>
          <w:rFonts w:hAnsi="宋体" w:eastAsia="仿宋_GB2312" w:cs="宋体"/>
          <w:sz w:val="32"/>
          <w:szCs w:val="32"/>
        </w:rPr>
        <w:t>外国人在中国境内对国家重点保护野生植物进行野外考察的，必须向国家重点保护野生植物所</w:t>
      </w:r>
      <w:r>
        <w:rPr>
          <w:rFonts w:hint="eastAsia" w:ascii="仿宋_GB2312" w:hAnsi="仿宋_GB2312" w:eastAsia="仿宋_GB2312" w:cs="仿宋_GB2312"/>
          <w:sz w:val="32"/>
          <w:szCs w:val="32"/>
        </w:rPr>
        <w:t>在地的省、自治区、直辖市人民政府野生植物行政主管部门提出申请，经其审核后，报国务院野生植物行政主管部门或者其授权的机构批准；直接</w:t>
      </w:r>
      <w:r>
        <w:rPr>
          <w:rFonts w:hint="eastAsia" w:hAnsi="宋体" w:eastAsia="仿宋_GB2312" w:cs="宋体"/>
          <w:sz w:val="32"/>
          <w:szCs w:val="32"/>
        </w:rPr>
        <w:t>向国务院野生植物行政主管部门提出申请的，国务院野生植物行政主管部门在批准前，应当征求有关省、自治区、直辖市人民政府野生植物行政主管部门的意见。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地方重点保护野生植物的管理办法，由省、自治区、直辖市人民政府制定。</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未取得采集证或者未按照采集证的规定采集国家重点保护野生植物的，由野生植</w:t>
      </w:r>
      <w:r>
        <w:rPr>
          <w:rFonts w:hint="eastAsia" w:ascii="仿宋_GB2312" w:hAnsi="仿宋_GB2312" w:eastAsia="仿宋_GB2312" w:cs="仿宋_GB2312"/>
          <w:sz w:val="32"/>
          <w:szCs w:val="32"/>
        </w:rPr>
        <w:t>物行政主管部门没收所采集的野生植物和违法所得，可以并处违法所得10倍以下的罚款；有采集证的，并可以吊销采集证。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违反本条例规定，出售、收</w:t>
      </w:r>
      <w:r>
        <w:rPr>
          <w:rFonts w:hint="eastAsia" w:ascii="仿宋_GB2312" w:hAnsi="仿宋_GB2312" w:eastAsia="仿宋_GB2312" w:cs="仿宋_GB2312"/>
          <w:sz w:val="32"/>
          <w:szCs w:val="32"/>
        </w:rPr>
        <w:t>购国家重点保护野生植物的，由工商行政管理部门或者野生植物行政主管部门按照职责分工没收野生植物和违法所得，可以并处违法所得10倍</w:t>
      </w:r>
      <w:r>
        <w:rPr>
          <w:rFonts w:hAnsi="宋体" w:eastAsia="仿宋_GB2312" w:cs="宋体"/>
          <w:sz w:val="32"/>
          <w:szCs w:val="32"/>
        </w:rPr>
        <w:t>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非法进出口野生植物的，由海关依照海关法的规定处罚。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伪造、倒卖</w:t>
      </w:r>
      <w:r>
        <w:rPr>
          <w:rFonts w:hint="eastAsia" w:ascii="仿宋_GB2312" w:hAnsi="仿宋_GB2312" w:eastAsia="仿宋_GB2312" w:cs="仿宋_GB2312"/>
          <w:sz w:val="32"/>
          <w:szCs w:val="32"/>
        </w:rPr>
        <w:t>、转让采集证、允许进出口证明书或者有关批准文件、标签的，由野生植物行政主管部门或者工商行政管理部门按照职责分工收缴，没收违法所得，可以并处5万元以下的罚款。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外国人在中国</w:t>
      </w:r>
      <w:r>
        <w:rPr>
          <w:rFonts w:hint="eastAsia" w:ascii="仿宋_GB2312" w:hAnsi="仿宋_GB2312" w:eastAsia="仿宋_GB2312" w:cs="仿宋_GB2312"/>
          <w:sz w:val="32"/>
          <w:szCs w:val="32"/>
        </w:rPr>
        <w:t>境内采集、收购国家重点保护野生植物，或者未经批准对国家重点保护野生植物进行野外考察的，由野生植物行政主管部门没收所采集、收购的野生植物和考察资料，可以并处5万元以下的罚款。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违反本条例规定，构成犯罪的，依法追究刑事责任。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野生植物行政</w:t>
      </w:r>
      <w:r>
        <w:rPr>
          <w:rFonts w:hint="eastAsia" w:ascii="仿宋_GB2312" w:hAnsi="仿宋_GB2312" w:eastAsia="仿宋_GB2312" w:cs="仿宋_GB2312"/>
          <w:sz w:val="32"/>
          <w:szCs w:val="32"/>
        </w:rPr>
        <w:t>主管部门的工作人员滥用职权、玩忽职守、徇私舞弊，构成犯罪的，依法追究刑事责任；尚不构成犯罪的，依法给予行政处分。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依照本条例规定没收的实物，由作出没收决定的机关按照国家有关规定处理。</w:t>
      </w:r>
    </w:p>
    <w:p>
      <w:pPr>
        <w:pStyle w:val="3"/>
        <w:bidi w:val="0"/>
        <w:rPr>
          <w:szCs w:val="32"/>
        </w:rPr>
      </w:pPr>
      <w:r>
        <w:t>第五章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中华人民共和国缔结或者参加的与保护野生植物有关的国际条约与本条例有不同规定的，适用国际条约的规定；但是，中华人民共和国声明保留的条款除外。</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第三十二条</w:t>
      </w:r>
      <w:r>
        <w:rPr>
          <w:rFonts w:hAnsi="宋体" w:eastAsia="仿宋_GB2312" w:cs="宋体"/>
          <w:sz w:val="32"/>
          <w:szCs w:val="32"/>
        </w:rPr>
        <w:t>　本条</w:t>
      </w:r>
      <w:bookmarkStart w:id="0" w:name="_GoBack"/>
      <w:r>
        <w:rPr>
          <w:rFonts w:hint="eastAsia" w:ascii="仿宋_GB2312" w:hAnsi="仿宋_GB2312" w:eastAsia="仿宋_GB2312" w:cs="仿宋_GB2312"/>
          <w:sz w:val="32"/>
          <w:szCs w:val="32"/>
        </w:rPr>
        <w:t>例自1997年1月1日起施行。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48</Words>
  <Characters>58</Characters>
  <Lines>69</Lines>
  <Paragraphs>19</Paragraphs>
  <TotalTime>1</TotalTime>
  <ScaleCrop>false</ScaleCrop>
  <LinksUpToDate>false</LinksUpToDate>
  <CharactersWithSpaces>59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2022-05-26T02:43:26Z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