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国内水路运输管理条例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(2012年10月13日中华人民共和国国务院令第625号公布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为了规范国内水路运输经营行为，维护国内水路运输市场秩序，保障国内水路运输安全，促进国内水路运输业健康发展，制定本条例。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经营国内水路运输以及水路运输辅助业务，应当遵守本条例。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本条例所称国内水路运输(以下简称水路运输)，是指始发港、挂靠港和目的港均在中华人民共和国管辖的通航水域内的经营性旅客运输和货物运输。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本条例所称水路运输辅助业务，是指直接为水路运输提供服务的船舶管理、船舶代理、水路旅客运输代理和水路货物运输代理等经营活动。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国家鼓励和保护水路运输市场的公平竞争，禁止垄断和不正当竞争行为。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运用经济、技术政策等措施，支持和鼓励水路运输经营者实行规模化、集约化经营，促进水路运输行业结构调整；支持和鼓励水路运输经营者采用先进适用的水路运输设备和技术，保障运输安全，促进节约能源，减少污染物排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国家保护水路运输经营者、旅客和货主的合法权益。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国务院交通运输主管部门主管全国水路运输管理工作。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县级以上地方人民政府交通运输主管部门主管本行政区域的水路运输管理工作。县级以上地方人民政府负责水路运输管理的部门或者机构(以下统称负责水路运输管理的部门)承担本条例规定的水路运输管理工作。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经营水路运输及其辅助业务，应当遵守法律、法规，诚实守信。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国务院交通运输主管部门和负责水路运输管理的部门应当依法对水路运输市场实施监督管理，对水路运输及其辅助业务的违法经营活动实施处罚，并建立经营者诚信管理制度，及时向社会公告监督检查情况。</w:t>
      </w:r>
    </w:p>
    <w:p>
      <w:pPr>
        <w:pStyle w:val="3"/>
        <w:bidi w:val="0"/>
        <w:rPr>
          <w:szCs w:val="32"/>
        </w:rPr>
      </w:pPr>
      <w:r>
        <w:t>第二章　水路运输经营者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申请经营水路运输业务，除本条例第七条规定的情形外，申请人应当符合下列条件：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(二)有符合本条例第十三条规定的船舶，并且自有船舶运力符合国务院交通运输主管部门的规定；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(三)有明确的经营范围，其中申请经营水路旅客班轮运输业务的，还应当有可行的航线营运计划；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(四)有与其申请的经营范围和船舶运力相适应的海务、机务管理人员；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(五)与其直接订立劳动合同的高级船员占全部船员的比例符合国务院交通运输主管部门的规定；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个人可以申请经营内河普通货物运输业务。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申请经营内河普通货物运输业务的个人，应当有符合本条例第十三条规定且船舶吨位不超过国务院交通运输主管部门规定</w:t>
      </w:r>
      <w:r>
        <w:rPr>
          <w:rFonts w:hint="eastAsia" w:ascii="仿宋_GB2312" w:hAnsi="仿宋_GB2312" w:eastAsia="仿宋_GB2312" w:cs="仿宋_GB2312"/>
          <w:spacing w:val="-6"/>
          <w:sz w:val="32"/>
          <w:szCs w:val="32"/>
        </w:rPr>
        <w:t>的自有船舶，并应当符合本条例第六条第六项、第七项规定的条件</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经营水路运输业务，应当按照国务院交通运输主管部门的规定，经国务院交通运输主管部门或者设区的市级以上地方人民政府负责水路运输管理的部门批准。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申请经营水路运输业务，应当向前款规定的负责审批的部门提交申请书和证明申请人符合本条例第六条或者第七条规定条件的相关材料。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审批的部门应当自受理申请之日起30个工作日内审查完毕，作出准予许可或者不予许可的决定。予以许可的，发给水路运输业务经营许可证件，并为申请人投入运营的船舶配发船舶营运证件；不予许可的，应当书</w:t>
      </w:r>
      <w:bookmarkStart w:id="0" w:name="_GoBack"/>
      <w:bookmarkEnd w:id="0"/>
      <w:r>
        <w:rPr>
          <w:rFonts w:hint="eastAsia" w:ascii="仿宋_GB2312" w:hAnsi="仿宋_GB2312" w:eastAsia="仿宋_GB2312" w:cs="仿宋_GB2312"/>
          <w:sz w:val="32"/>
          <w:szCs w:val="32"/>
        </w:rPr>
        <w:t>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各级交通运输主管部门应当做好水路运输市场统计</w:t>
      </w:r>
      <w:r>
        <w:rPr>
          <w:rFonts w:hint="eastAsia" w:ascii="仿宋_GB2312" w:hAnsi="仿宋_GB2312" w:eastAsia="仿宋_GB2312" w:cs="仿宋_GB2312"/>
          <w:spacing w:val="-6"/>
          <w:sz w:val="32"/>
          <w:szCs w:val="32"/>
        </w:rPr>
        <w:t>和调查分析工作，定期向社会公布水路运输市场运力供需状况。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为保障水路运输安全，维护水路运输市场的公平竞争秩序，国务院交通运输主管部门可以根据水路运输市场监测情况，决定在特定的旅客班轮运输和散装液体危险货物运输航线、水域暂停新增运力许可。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采取前款规定的运力调控措施，应当符合公开、公平、公正的原则，在开始实施的60日前向社会公告，说明采取措施的理由以及采取措施的范围、期限等事项。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外国的企业、其他经济组织和个人不得经营水路运输业务，也不得以租用中国籍船舶或者舱位等方式变相经营水路运输业务。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香港特别行政区、澳门特别行政区和台湾地区的企业、其他经济组织以及个人参照适用前款规定，国务院另有规定的除外。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依照本条例取得许可的水路运输经营者终止经营的，应当自终止经营之日起15个工作日内向原许可机关办理注销许可手续，交回水路运输业务经营许可证件。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水路运输经营者投入运营的船舶应当符合下列条件：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(一)与经营者的经营范围相适应；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(二)取得有效的船舶登记证书和检验证书；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(三)符合国务院交通运输主管部门关于船型技术标准和船龄的要求；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水路运输经营者新增船舶投入运营的，应当凭水路运输业务经营许可证件、船舶登记证书和检验证书向国务院交通运输主管部门或者设区的市级以上地方人民政府负责水路运输管理的部门领取船舶营运证件。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从事水路运输经营的船舶应当随船携带船舶营运证件。</w:t>
      </w:r>
    </w:p>
    <w:p>
      <w:pPr>
        <w:pStyle w:val="11"/>
        <w:ind w:firstLine="640" w:firstLineChars="200"/>
        <w:rPr>
          <w:rFonts w:hint="eastAsia" w:ascii="仿宋_GB2312" w:hAnsi="仿宋_GB2312" w:eastAsia="仿宋_GB2312" w:cs="仿宋_GB2312"/>
          <w:spacing w:val="0"/>
          <w:sz w:val="32"/>
          <w:szCs w:val="32"/>
        </w:rPr>
      </w:pPr>
      <w:r>
        <w:rPr>
          <w:rFonts w:hint="eastAsia" w:ascii="仿宋_GB2312" w:hAnsi="仿宋_GB2312" w:eastAsia="仿宋_GB2312" w:cs="仿宋_GB2312"/>
          <w:sz w:val="32"/>
          <w:szCs w:val="32"/>
        </w:rPr>
        <w:t>海事管理机构办理船舶进出港签证，应当检查船舶的营运证件。对不</w:t>
      </w:r>
      <w:r>
        <w:rPr>
          <w:rFonts w:hint="eastAsia" w:ascii="仿宋_GB2312" w:hAnsi="仿宋_GB2312" w:eastAsia="仿宋_GB2312" w:cs="仿宋_GB2312"/>
          <w:spacing w:val="0"/>
          <w:sz w:val="32"/>
          <w:szCs w:val="32"/>
        </w:rPr>
        <w:t>能提供有效的船舶营运证件的，不得为其办理签证，并应当同时通知港口所在地人民政府负责水路运输管理的部门。港口所在地人民政府负责水路运输管理的部门收到上述通知后，应当在24小时内作出处理并将处理情况书面通知有关海事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根据保障运输安全、保护水环境、节约能源、提高航道和通航设施利用效率的需求，制定并实施新的船型技术标准时，对正在使用的不符合新标准但符合原有标准且未达到规定报废船龄的船舶，可以采取资金补贴等措施，引导、鼓励水路运输经营者进行更新、改造；需要强制提前报废的，应当对船舶所有人给予补偿。具体办法由国务院交通运输主管部门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水路运输经营者不得使用外国籍船舶经营水路运输业务。但是，在国内没有能够满足所申请运输要求的中国籍船舶，并且船舶停靠的港口或者水域为对外开放的港口或者水域的情况下，经国务院交通运输主管部门许可，水路运输经营者可以在国务院交通运输主管部门规定的期限或者航次内，临时使用外国籍船舶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在香港特别行政区、澳门特别行政区、台湾地区进行船籍登记的船舶，参照适用本条例关于外国籍船舶的规定，国务院另有规定的除外。</w:t>
      </w:r>
    </w:p>
    <w:p>
      <w:pPr>
        <w:pStyle w:val="3"/>
        <w:bidi w:val="0"/>
        <w:rPr>
          <w:szCs w:val="32"/>
        </w:rPr>
      </w:pPr>
      <w:r>
        <w:t>第三章　水路运输经营活动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水路运输经营者应当在依法取得许可的经营范围内从事水路运输经营。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水路运输经营者应当使用符合本条例规定条件、配备合格船员的船舶，并保证船舶处于适航状态。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水路运输经营者应当按照船舶核定载客定额或者载重量载运旅客、货物，不得超载或者使用货船载运旅客。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水路运输经营者应当依照法律、行政法规和国务院交通运输主管部门关于水路旅客、货物运输的规定、质量标准以及合同的约定，为旅客、货主提供安全、便捷、优质的服务，保证旅客、货物运输安全。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水路旅客运输业务经营者应当为其客运船舶投保承运人责任保险或者取得相应的财务担保。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路运输经营者运输危险货物，应当遵守法律、行政法规以及国务院交通运输主管部门关于危险货物运输的规定，使用依法取得危险货物适装证书的船舶，按照规定的安全技术规范进行配载和运输，保证运输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旅客班轮运输业务经营者应当自取得班轮航线经营许可之日起60日内开航，并在开航15日前公布所使用的船舶、班期、班次、运价等信息。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旅客班轮运输应当按照公布的班期、班次运行；变更班期、班次、运价的，应当在15日前向社会公布；停止经营部分或者全部班轮航线的，应当在30日前向社会公布并报原许可机关备案。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货物班轮运输业务经营者应当在班轮航线开航的7日前，公布所使用的船舶以及班期、班次和运价。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货物班轮运输应当按照公布的班期、班次运行；变更班期、班次、运价或者停止经营部分或者全部班轮航线的，应当在7日前向社会公布。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水路运输经营者应当依照法律、行政法规和国家有关规定，优先运送处置突发事件所需的物资、设备、工具、应急救援人员和受到突发事件危害的人员，重点保障紧急、重要的军事运输。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出现关系国计民生的紧急运输需求时，国务院交通运输主管部门按照国务院的部署，可以要求水路运输经营者优先运输需要紧急运输的物资。水路运输经营者应当按照要求及时运输。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水路运输经营者应当按照统计法律、行政法规的规定报送统计信息。</w:t>
      </w:r>
    </w:p>
    <w:p>
      <w:pPr>
        <w:pStyle w:val="3"/>
        <w:bidi w:val="0"/>
        <w:rPr>
          <w:szCs w:val="32"/>
        </w:rPr>
      </w:pPr>
      <w:r>
        <w:t>第四章　水路运输辅助业务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运输船舶的所有人、经营人可以委托船舶管理业务经营者为其提供船舶海务、机务管理等服务。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申请经营船舶管理业务，申请人应当符合下列条件：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(一)取得企业法人资格；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(三)有与其申请管理的船舶运力相适应的海务、机务管理人员；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经营船舶管理业务，应当经设区的市级以上地方人民政府负责水路运输管理的部门批准。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申请经营船舶管理业务，应当向前款规定的部门提交申请书和证明申请人符合本条例第二十六条规定条件的相关材料。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应当自受理申请之日起30个工作日内审查完毕，作出准予许可或者不予许可的决定。予以许可的，发给船舶管理业务经营许可证件，并向国务院交通运输主管部门备案；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船舶管理业务经营者接受委托提供船舶管理服务，应当与委托人订立书面合同，并将合同报所在地海事管理机构备案。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船舶管理业务经营者应当按照国家有关规定和合同约定履行有关船舶安全和防止污染的管理义务。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水路运输经营者可以委托船舶代理、水路旅客运输代理、水路货物运输代理业务的经营者，代办船舶进出港手续等港口业务，代为签订运输合同，代办旅客、货物承揽业务以及其他水路运输代理业务。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船舶代理、水路旅客运输代理业务的经营者应当自企业设立登记之日起15个工作日内，向所在地设区的市级人民政府负责水路运输管理的部门备案。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舶代理、水路旅客运输代理、水路货物运输代理业务的经营者接受委托提供代理服务，应当与委托人订立书面合同，按照国家有关规定和合同约定办理代理业务，不得强行代理，不得为未依法取得水路运输业务经营许可或者超越许可范围的经营者办理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本条例第十二条、第十七条的规定适用于船舶管理业务经营者。本条例第十一条、第二十四条的规定适用于船舶管理、船舶代理、水路旅客运输代理和水路货物运输代理业务经营活动。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国务院交通运输主管部门应当依照本条例的规定制定水路运输辅助业务的具体管理办法。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未经许可擅自经营或者超越许可范围经营水路运输业务或者国内船舶管理业务的，由负责水路运输管理的部门责令停止经营，没收违法所得，并处违法所得1倍以上5倍以下的罚款；没有违法所得或者违法所得不足3万元的，处3万元以上15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水路运输经营者使用未取得船舶营运证件的船舶从事水路运输的，由负责水路运输管理的部门责令该船停止经营，没收违法所得，并处违法所得1倍以上5倍以下的罚款；没有违法所得或者违法所得不足2万元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从事水路运输经营的船舶未随船携带船舶营运证件的，责令改正，可以处1000元以下的罚款。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路运输经营者未经国务院交通运输主管部门许可或者超越许可范围使用外国籍船舶经营水路运输业务，或者外国的企业、其他经济组织和个人经营或者以租用中国籍船舶或者舱位等方式变相经营水路运输业务的，由负责水路运输管理的部门责令停止经营，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以欺骗或者贿赂等不正当手段取得本条例规定的行政许可的，由原许可机关撤销许可，处2万元以上20万元以下的罚款；有违法所得的，没收违法所得；国务院交通运输主管部门或者负责水路运输管理的部门自撤销许可之日起3年内不受理其对该项许可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租、出借、倒卖本条例规定的行政许可证件或者以其他方式非法转让本条例规定的行政许可的，由负责水路运输管理的部门责令改正，没收违法所得，并处违法所得1倍以上5倍以下的罚款；没有违法所得或者违法所得不足3万元的，处3万元以上15万元以下的罚款；情节严重的，由原许可机关吊销相应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伪造、变造、涂改本条例规定的行政许可证件的，由负责水路运输管理的部门没收伪造、变造、涂改的许可证件，处3万元以上15万元以下的罚款；有违法所得的，没收违法所得。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水路运输经营者有下列情形之一的，由海事管理机构依法予以处罚：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(一)未按照规定配备船员或者未使船舶处于适航状态；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(二)超越船舶核定载客定额或者核定载重量载运旅客或者货物；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(三)使用货船载运旅客；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(四)使用未取得危险货物适装证书的船舶运输危险货物。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路旅客运输业务经营者未为其经营的客运船舶投保承运人责任保险或者取得相应的财务担保的，由负责水路运输管理的部门责令限期改正，处2万元以上10万元以下的罚款；逾期不改正的，由原许可机关吊销该客运船舶的船舶营运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班轮运输业务经营者未提前向社会公布所使用的船舶、班期、班次和运价或者其变更信息的，由负责水路运输管理的部门责令改正，处2000元以上2万元以下的罚款。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旅客班轮运输业务经营者自取得班轮航线经营许可之日起60日内未开航的，由负责水路运输管理的部门责令改正；拒不改正的，由原许可机关撤销该项经营许可。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水路运输、船舶管理业务经营者取得许可后，不再具备本条例规定的许可条件的，由负责水路运输管理的部门责令限期整改；在规定期限内整改仍不合格的，由原许可机关撤销其经营许可。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负责水路运输管理的国家工作人员在水路运输管理活动中滥用职权、玩忽职守、徇私舞弊，不依法履行职责的，依法给予处分。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载客12人以下的客运船舶以及乡、镇客运渡船运输的管理办法，由省、自治区、直辖市人民政府另行制定。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本条例自2013年1月1日起施行。1987年5月12日国务院发布的《中华人民共和国水路运输管理条例》同时废止。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72</Characters>
  <Lines>69</Lines>
  <Paragraphs>19</Paragraphs>
  <TotalTime>2</TotalTime>
  <ScaleCrop>false</ScaleCrop>
  <LinksUpToDate>false</LinksUpToDate>
  <CharactersWithSpaces>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2022-06-03T13:39:13Z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