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5F0" w:rsidRDefault="00533B0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中华人民共和国监控化学品管理条例</w:t>
      </w:r>
    </w:p>
    <w:p w:rsidR="005E75F0" w:rsidRDefault="005E75F0">
      <w:pPr>
        <w:pStyle w:val="a4"/>
        <w:ind w:firstLineChars="200" w:firstLine="640"/>
        <w:rPr>
          <w:rFonts w:ascii="楷体_GB2312" w:eastAsia="楷体_GB2312" w:hAnsi="楷体_GB2312" w:cs="楷体_GB2312"/>
          <w:sz w:val="32"/>
          <w:szCs w:val="32"/>
        </w:rPr>
      </w:pPr>
    </w:p>
    <w:p w:rsidR="005E75F0" w:rsidRDefault="00533B09">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spacing w:val="6"/>
          <w:sz w:val="32"/>
          <w:szCs w:val="32"/>
        </w:rPr>
        <w:t>1995</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12</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27</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190</w:t>
      </w:r>
      <w:r>
        <w:rPr>
          <w:rFonts w:ascii="楷体_GB2312" w:eastAsia="楷体_GB2312" w:hAnsi="楷体_GB2312" w:cs="楷体_GB2312" w:hint="eastAsia"/>
          <w:spacing w:val="6"/>
          <w:sz w:val="32"/>
          <w:szCs w:val="32"/>
        </w:rPr>
        <w:t>号发布　自发布之日起施行</w:t>
      </w:r>
      <w:r>
        <w:rPr>
          <w:rFonts w:ascii="楷体_GB2312" w:eastAsia="楷体_GB2312" w:hAnsi="楷体_GB2312" w:cs="楷体_GB2312" w:hint="eastAsia"/>
          <w:spacing w:val="6"/>
          <w:sz w:val="32"/>
          <w:szCs w:val="32"/>
        </w:rPr>
        <w:t>)</w:t>
      </w:r>
    </w:p>
    <w:p w:rsidR="005E75F0" w:rsidRDefault="005E75F0">
      <w:pPr>
        <w:pStyle w:val="a4"/>
        <w:ind w:firstLineChars="200" w:firstLine="640"/>
        <w:rPr>
          <w:rFonts w:ascii="Times New Roman" w:hAnsi="Times New Roman" w:cs="Times New Roman"/>
          <w:sz w:val="32"/>
          <w:szCs w:val="32"/>
        </w:rPr>
      </w:pP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为了加强对监控化学品的管理，保障公民的人身安全和保护环境，制定本条例。</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在中华人民共和国境内从事监控化学品的生产、经营和使用活动，必须遵守本条例。</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本条例所称监控化学品，是指下列各类化学品：</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第一类：可作为化学武器的化学品；</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第二类：可作为生产化学武器前体的化学品；</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第三类：可作为生产化学武器主要原料的化学品；</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第四类：除炸药和纯碳氢化合物外的特定有机化学品。</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前款各类监控化学品的名录由国务院化学工业主管部门提出，报国务院批准后公布。</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国务院化学工业主管部门负责全国监控化学品的管理工作。省、自治区、直辖市人民政府化学工业主管部门负责本行政区域内监控化学品的管理工作。</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生产、经营或者使用监控化学品的，应当依照本条</w:t>
      </w:r>
      <w:r>
        <w:rPr>
          <w:rFonts w:ascii="Times New Roman" w:eastAsia="仿宋_GB2312" w:hAnsi="Times New Roman" w:cs="Times New Roman"/>
          <w:sz w:val="32"/>
          <w:szCs w:val="32"/>
        </w:rPr>
        <w:lastRenderedPageBreak/>
        <w:t>例和国家有关规定向国务院化学工业主管部门或者省、自治区、直辖市人民政府化学工业主管部门申报生产、经营或者使用监控化学品的有关资料、数据和使用目的，接受化学工业主管部门的检查监督。</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国家严格控制第一类监控化学品的生产。</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为科研、医疗、制造药物或者防护目的需要生产第一类监控化学品的，应当报国务院化学工业主管部门批准，并在国务院化学工业主管部门指定的小型设施中生产。</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严禁在未经国务院化学工业主管部门指定的设施中生产第一类监控化学品。</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国家对第二类、第三</w:t>
      </w:r>
      <w:r>
        <w:rPr>
          <w:rFonts w:ascii="Times New Roman" w:eastAsia="仿宋_GB2312" w:hAnsi="Times New Roman" w:cs="Times New Roman"/>
          <w:sz w:val="32"/>
          <w:szCs w:val="32"/>
        </w:rPr>
        <w:t>类监控化学品和第四类监控化学品中含磷、硫、氟的特定有机化学品的生产，实行特别许可制度；未经特别许可的，任何单位和个人均不得生产。特别许可办法，由国务院化学工业主管部门制定。</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新建、扩建或者改建用于生产第二类、第三类监控化学品和第四类监控化学品中含磷、硫、氟的特定有机化学品的设施，应当向所在地省、自治区、直辖市人民政府化学工业主管部门提出申请，经省、自治区、直辖市人民政府化学工业主管部门审查签署意见，报国务院化学工业主管部门批准后，方可开工建设；工程竣工后，经所在地省、自治区、直辖市人民政府化学</w:t>
      </w:r>
      <w:r>
        <w:rPr>
          <w:rFonts w:ascii="Times New Roman" w:eastAsia="仿宋_GB2312" w:hAnsi="Times New Roman" w:cs="Times New Roman"/>
          <w:sz w:val="32"/>
          <w:szCs w:val="32"/>
        </w:rPr>
        <w:lastRenderedPageBreak/>
        <w:t>工业主</w:t>
      </w:r>
      <w:r>
        <w:rPr>
          <w:rFonts w:ascii="Times New Roman" w:eastAsia="仿宋_GB2312" w:hAnsi="Times New Roman" w:cs="Times New Roman"/>
          <w:sz w:val="32"/>
          <w:szCs w:val="32"/>
        </w:rPr>
        <w:t>管部门验收合格，并报国务院化学工业主管部门批准后，方可投产使用。</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新建、扩建或者改建用于生产第四类监控化学品中不含磷、硫、氟的特定有机化学品的设施，应当在开工生产前向所在地省、自治区、直辖市人民政府化学工业主管部门备案。</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监控化学品应当在专用的化工仓库中储存，并设专人管理。监控化学品的储存条件应当符合国家有关规定。</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储存监控化学品的单位，应当建立严格的出库、入库检查制度和登记制度；发现丢失、被盗时，应当立即报告当地公安机关和所在地省、自治区、直辖市人民政府化学工业主管部门；省、自治区、直辖市</w:t>
      </w:r>
      <w:r>
        <w:rPr>
          <w:rFonts w:ascii="Times New Roman" w:eastAsia="仿宋_GB2312" w:hAnsi="Times New Roman" w:cs="Times New Roman"/>
          <w:sz w:val="32"/>
          <w:szCs w:val="32"/>
        </w:rPr>
        <w:t>人民政府化学工业主管部门应当积极配合公安机关进行查处。</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对变质或者过期失效的监控化学品，应当及时处理。处理方案报所在地省、自治区、直辖市人民政府化学工业主管部门批准后实施。</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为科研、医疗、制造药物或者防护目的需要使用第一类监控化学品的，应当向国务院化学工业主管部门提出申请，经国务院化学工业主管部门审查批准后，凭批准文件同国务院化学工业主管部门指定的生产单位签订合同，并将合同副本报送国务院化学工业主管部门备案。</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第十三条</w:t>
      </w:r>
      <w:r>
        <w:rPr>
          <w:rFonts w:ascii="Times New Roman" w:eastAsia="仿宋_GB2312" w:hAnsi="Times New Roman" w:cs="Times New Roman"/>
          <w:sz w:val="32"/>
          <w:szCs w:val="32"/>
        </w:rPr>
        <w:t xml:space="preserve">　需要使用第二类监控化学品的，应当向所在地省、自治区、直辖市人民政府化学工业主管部门提出申请，经省、自治区、直辖市人民政府化学工业主管部门审查批准后，凭批准文件同国务院化学工业主管部门指定的经销单位签订合同，并将合同副本报送所在地省、自治区、直辖市人民政府化学工业主管部门备案。</w:t>
      </w:r>
    </w:p>
    <w:p w:rsidR="005E75F0" w:rsidRDefault="0053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国务院化学工业主管部门会同</w:t>
      </w:r>
      <w:r>
        <w:rPr>
          <w:rFonts w:ascii="仿宋_GB2312" w:eastAsia="仿宋_GB2312" w:hAnsi="仿宋_GB2312" w:cs="仿宋_GB2312" w:hint="eastAsia"/>
          <w:sz w:val="32"/>
          <w:szCs w:val="32"/>
        </w:rPr>
        <w:t>国务院对外经济贸易主管部门指定的单位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以下简称被指定单位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，可以从事第一类监控化学品和第二类、第三类监控化学品及其生产技术、专用设备的进出口业务。</w:t>
      </w:r>
    </w:p>
    <w:p w:rsidR="005E75F0" w:rsidRDefault="00533B0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需要进口或者出口第一类监控化学品和第二类、第三类</w:t>
      </w:r>
      <w:r>
        <w:rPr>
          <w:rFonts w:ascii="仿宋_GB2312" w:eastAsia="仿宋_GB2312" w:hAnsi="仿宋_GB2312" w:cs="仿宋_GB2312" w:hint="eastAsia"/>
          <w:sz w:val="32"/>
          <w:szCs w:val="32"/>
        </w:rPr>
        <w:t>监控</w:t>
      </w:r>
      <w:r>
        <w:rPr>
          <w:rFonts w:ascii="Times New Roman" w:eastAsia="仿宋_GB2312" w:hAnsi="Times New Roman" w:cs="Times New Roman"/>
          <w:sz w:val="32"/>
          <w:szCs w:val="32"/>
        </w:rPr>
        <w:t>化学品及其生产技术、专用设备的，应当委托被指定单位代理进口或者出口。除被指定单位外，任何单位和个人均不得从事这类进出口业务。</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国家严格控制第一类监控化学品的进口和出口。非为科研、医疗、制造药物或者防护目的，不得进口第一类监控化学品。</w:t>
      </w:r>
    </w:p>
    <w:p w:rsidR="005E75F0" w:rsidRDefault="0053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接受委托进口第一类监控化学品的被指定单位，应当向国务院化学工业主管部门提出申请，并提交产品最终用途的说明和证明；经国务院化学工业主管部门审查签署意见后，报国务院审查</w:t>
      </w:r>
      <w:r>
        <w:rPr>
          <w:rFonts w:ascii="Times New Roman" w:eastAsia="仿宋_GB2312" w:hAnsi="Times New Roman" w:cs="Times New Roman"/>
          <w:sz w:val="32"/>
          <w:szCs w:val="32"/>
        </w:rPr>
        <w:lastRenderedPageBreak/>
        <w:t>批准。被指定单位凭国务院的批准文件向国务院对外经济贸易主管部门申请领取进口许可证。</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接受委</w:t>
      </w:r>
      <w:r>
        <w:rPr>
          <w:rFonts w:ascii="Times New Roman" w:eastAsia="仿宋_GB2312" w:hAnsi="Times New Roman" w:cs="Times New Roman"/>
          <w:sz w:val="32"/>
          <w:szCs w:val="32"/>
        </w:rPr>
        <w:t>托进口第二类、第三类监控化学品及其生产技术、专用设备的被指定单位，应当向国务院化学工业主管部门提出申请，并提交所进口的化学品、生产技术或者专用设备最终用途的说明和证明；经国务院化学工业主管部门审查批准后，被指定单位凭国务院化学工业主管部门的批准文件向国务院对外经济贸易主管部门申请领取进口许可证。</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接受委托出口第一类监控化学品的被指定单位，应当向国务院化学工业主管部门提出申请，并提交进口国政府或者政府委托机构出具的所进口的化学品仅用于科研、医疗、制造药物或者防护目的和不转口第三国的保证书；经国务院化</w:t>
      </w:r>
      <w:r>
        <w:rPr>
          <w:rFonts w:ascii="Times New Roman" w:eastAsia="仿宋_GB2312" w:hAnsi="Times New Roman" w:cs="Times New Roman"/>
          <w:sz w:val="32"/>
          <w:szCs w:val="32"/>
        </w:rPr>
        <w:t>学工业主管部门审查签署意见后，报国务院审查批准。被指定单位凭国务院的批准文件向国务院对外经济贸易主管部门申请领取出口许可证。</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接受委托出口第二类、第三类监控化学品及其生产技术、专用设备的被指定单位，应当向国务院化学工业主管部门提出申请，并提交进口国政府或者政府委托机构出具的所进口的化学品、生产技术、专用设备不用于生产化学武器和不转口第三国的保证书；经国务院化学工业主管部门审查批准后，被指定</w:t>
      </w:r>
      <w:r>
        <w:rPr>
          <w:rFonts w:ascii="Times New Roman" w:eastAsia="仿宋_GB2312" w:hAnsi="Times New Roman" w:cs="Times New Roman"/>
          <w:sz w:val="32"/>
          <w:szCs w:val="32"/>
        </w:rPr>
        <w:lastRenderedPageBreak/>
        <w:t>单位凭国务院化学工业主管部门的批准文件向国务院对外经济贸易主管部门申请领取出口许可证。</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使用监控化学</w:t>
      </w:r>
      <w:r>
        <w:rPr>
          <w:rFonts w:ascii="Times New Roman" w:eastAsia="仿宋_GB2312" w:hAnsi="Times New Roman" w:cs="Times New Roman"/>
          <w:sz w:val="32"/>
          <w:szCs w:val="32"/>
        </w:rPr>
        <w:t>品的，应当与其申报的使用目的相一致；需要改变使用目的的，应当报原审批机关批准。</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使用第一类、第二类监控化学品的，应当按照国家有关规定，定期向所在地省、自治区、直辖市人民政府化学工业主管部门报告消耗此类监控化学品的数量和使用此类监控化学品生产最终产品的数量。</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违反本条例规定，</w:t>
      </w:r>
      <w:r>
        <w:rPr>
          <w:rFonts w:ascii="仿宋_GB2312" w:eastAsia="仿宋_GB2312" w:hAnsi="仿宋_GB2312" w:cs="仿宋_GB2312" w:hint="eastAsia"/>
          <w:sz w:val="32"/>
          <w:szCs w:val="32"/>
        </w:rPr>
        <w:t>生产监控化学品的，由省、自治区、直辖市人民政府化学工业主管部门责令限期改正；逾期不改正的，可以处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万元以下的罚款；情节严重的，可</w:t>
      </w:r>
      <w:r>
        <w:rPr>
          <w:rFonts w:ascii="Times New Roman" w:eastAsia="仿宋_GB2312" w:hAnsi="Times New Roman" w:cs="Times New Roman"/>
          <w:sz w:val="32"/>
          <w:szCs w:val="32"/>
        </w:rPr>
        <w:t>以提请省、自治区、直辖市人民政府责令停产整顿。</w:t>
      </w:r>
    </w:p>
    <w:p w:rsidR="005E75F0" w:rsidRDefault="0053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违反本条例规定，使用监控化</w:t>
      </w:r>
      <w:r>
        <w:rPr>
          <w:rFonts w:ascii="Times New Roman" w:eastAsia="仿宋_GB2312" w:hAnsi="Times New Roman" w:cs="Times New Roman"/>
          <w:sz w:val="32"/>
          <w:szCs w:val="32"/>
        </w:rPr>
        <w:t>学品的，由省、自治区、直辖市人民政府化学工业主</w:t>
      </w:r>
      <w:r>
        <w:rPr>
          <w:rFonts w:ascii="仿宋_GB2312" w:eastAsia="仿宋_GB2312" w:hAnsi="仿宋_GB2312" w:cs="仿宋_GB2312" w:hint="eastAsia"/>
          <w:sz w:val="32"/>
          <w:szCs w:val="32"/>
        </w:rPr>
        <w:t>管部门责令限期改正；逾期不改正的，可以处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违反本条例规定，经营监控化学品的，由省、自治区、直辖市人民政府化学工业主管部门没收其违法经营的监控化学品和违法所得，可以并处违法经营额</w:t>
      </w:r>
      <w:r w:rsidR="006472FF">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倍以上</w:t>
      </w:r>
      <w:r w:rsidR="006472FF">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倍以下的罚款。</w:t>
      </w:r>
    </w:p>
    <w:p w:rsidR="005E75F0" w:rsidRDefault="0053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违反本条例规定，隐瞒、拒报有关监控化学品</w:t>
      </w:r>
      <w:r>
        <w:rPr>
          <w:rFonts w:ascii="Times New Roman" w:eastAsia="仿宋_GB2312" w:hAnsi="Times New Roman" w:cs="Times New Roman"/>
          <w:sz w:val="32"/>
          <w:szCs w:val="32"/>
        </w:rPr>
        <w:lastRenderedPageBreak/>
        <w:t>的资料、数据，或者妨</w:t>
      </w:r>
      <w:bookmarkStart w:id="0" w:name="_GoBack"/>
      <w:r>
        <w:rPr>
          <w:rFonts w:ascii="仿宋_GB2312" w:eastAsia="仿宋_GB2312" w:hAnsi="仿宋_GB2312" w:cs="仿宋_GB2312" w:hint="eastAsia"/>
          <w:sz w:val="32"/>
          <w:szCs w:val="32"/>
        </w:rPr>
        <w:t>碍、阻挠化学工业主管部门依照本条例的规定履行检查监督职责的，由省、自治区、直辖市人民政府化学工业主管部门处以</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bookmarkEnd w:id="0"/>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违反本条例规定，构成违反治安管理行为的，依照《中华人民共和国治安管理处罚条例》的有关规定处罚；构成犯罪的，依法追究刑事责任。</w:t>
      </w:r>
    </w:p>
    <w:p w:rsidR="005E75F0" w:rsidRDefault="0053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在本条例施行前已经从事生产、经营或者使用监控化学品的，应当依照本条例的规定，办理有关手续。</w:t>
      </w:r>
    </w:p>
    <w:p w:rsidR="005E75F0" w:rsidRDefault="00533B09">
      <w:pPr>
        <w:pStyle w:val="a4"/>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本条例自发布之日起施行。</w:t>
      </w:r>
    </w:p>
    <w:sectPr w:rsidR="005E75F0" w:rsidSect="005E75F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B09" w:rsidRDefault="00533B09" w:rsidP="005E75F0">
      <w:r>
        <w:separator/>
      </w:r>
    </w:p>
  </w:endnote>
  <w:endnote w:type="continuationSeparator" w:id="0">
    <w:p w:rsidR="00533B09" w:rsidRDefault="00533B09" w:rsidP="005E75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5F0" w:rsidRDefault="005E75F0">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E75F0" w:rsidRDefault="005E75F0">
                <w:pPr>
                  <w:pStyle w:val="a6"/>
                  <w:rPr>
                    <w:sz w:val="24"/>
                  </w:rPr>
                </w:pPr>
                <w:r>
                  <w:rPr>
                    <w:rFonts w:hint="eastAsia"/>
                    <w:sz w:val="24"/>
                  </w:rPr>
                  <w:fldChar w:fldCharType="begin"/>
                </w:r>
                <w:r w:rsidR="00533B09">
                  <w:rPr>
                    <w:rFonts w:hint="eastAsia"/>
                    <w:sz w:val="24"/>
                  </w:rPr>
                  <w:instrText xml:space="preserve"> PAGE  \* MERGEFORMAT </w:instrText>
                </w:r>
                <w:r>
                  <w:rPr>
                    <w:rFonts w:hint="eastAsia"/>
                    <w:sz w:val="24"/>
                  </w:rPr>
                  <w:fldChar w:fldCharType="separate"/>
                </w:r>
                <w:r w:rsidR="006472FF">
                  <w:rPr>
                    <w:noProof/>
                    <w:sz w:val="24"/>
                  </w:rPr>
                  <w:t>- 7 -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B09" w:rsidRDefault="00533B09" w:rsidP="005E75F0">
      <w:r>
        <w:separator/>
      </w:r>
    </w:p>
  </w:footnote>
  <w:footnote w:type="continuationSeparator" w:id="0">
    <w:p w:rsidR="00533B09" w:rsidRDefault="00533B09" w:rsidP="005E75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33B09"/>
    <w:rsid w:val="005451E4"/>
    <w:rsid w:val="005505F3"/>
    <w:rsid w:val="00574409"/>
    <w:rsid w:val="00574DA9"/>
    <w:rsid w:val="005B69ED"/>
    <w:rsid w:val="005D2AE0"/>
    <w:rsid w:val="005D75D2"/>
    <w:rsid w:val="005E75F0"/>
    <w:rsid w:val="005F72E4"/>
    <w:rsid w:val="0060161F"/>
    <w:rsid w:val="0060279C"/>
    <w:rsid w:val="00604330"/>
    <w:rsid w:val="00622219"/>
    <w:rsid w:val="006405E2"/>
    <w:rsid w:val="006472FF"/>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5F0"/>
    <w:pPr>
      <w:widowControl w:val="0"/>
      <w:jc w:val="both"/>
    </w:pPr>
    <w:rPr>
      <w:kern w:val="2"/>
      <w:sz w:val="21"/>
    </w:rPr>
  </w:style>
  <w:style w:type="paragraph" w:styleId="1">
    <w:name w:val="heading 1"/>
    <w:basedOn w:val="a"/>
    <w:next w:val="a"/>
    <w:link w:val="1Char"/>
    <w:uiPriority w:val="9"/>
    <w:qFormat/>
    <w:rsid w:val="005E75F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E75F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E75F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E75F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E75F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E75F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E75F0"/>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E75F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E75F0"/>
    <w:pPr>
      <w:spacing w:before="100" w:beforeAutospacing="1" w:after="120"/>
      <w:ind w:leftChars="200" w:left="200"/>
    </w:pPr>
    <w:rPr>
      <w:szCs w:val="21"/>
    </w:rPr>
  </w:style>
  <w:style w:type="paragraph" w:styleId="a4">
    <w:name w:val="Plain Text"/>
    <w:basedOn w:val="a"/>
    <w:link w:val="Char0"/>
    <w:uiPriority w:val="99"/>
    <w:unhideWhenUsed/>
    <w:qFormat/>
    <w:rsid w:val="005E75F0"/>
    <w:rPr>
      <w:rFonts w:ascii="宋体" w:hAnsi="Courier New" w:cs="Courier New"/>
      <w:szCs w:val="21"/>
    </w:rPr>
  </w:style>
  <w:style w:type="paragraph" w:styleId="a5">
    <w:name w:val="Balloon Text"/>
    <w:basedOn w:val="a"/>
    <w:link w:val="Char1"/>
    <w:uiPriority w:val="99"/>
    <w:semiHidden/>
    <w:unhideWhenUsed/>
    <w:qFormat/>
    <w:rsid w:val="005E75F0"/>
    <w:rPr>
      <w:rFonts w:asciiTheme="minorHAnsi" w:eastAsiaTheme="minorEastAsia" w:hAnsiTheme="minorHAnsi" w:cstheme="minorBidi"/>
      <w:sz w:val="18"/>
      <w:szCs w:val="18"/>
    </w:rPr>
  </w:style>
  <w:style w:type="paragraph" w:styleId="a6">
    <w:name w:val="footer"/>
    <w:basedOn w:val="a"/>
    <w:link w:val="Char10"/>
    <w:uiPriority w:val="99"/>
    <w:unhideWhenUsed/>
    <w:qFormat/>
    <w:rsid w:val="005E75F0"/>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E75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E75F0"/>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E75F0"/>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E75F0"/>
    <w:pPr>
      <w:spacing w:before="240" w:after="60"/>
      <w:jc w:val="center"/>
      <w:outlineLvl w:val="0"/>
    </w:pPr>
    <w:rPr>
      <w:rFonts w:ascii="Cambria" w:hAnsi="Cambria"/>
      <w:b/>
      <w:sz w:val="32"/>
      <w:szCs w:val="32"/>
    </w:rPr>
  </w:style>
  <w:style w:type="table" w:styleId="ab">
    <w:name w:val="Table Grid"/>
    <w:basedOn w:val="a1"/>
    <w:uiPriority w:val="59"/>
    <w:qFormat/>
    <w:rsid w:val="005E75F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E75F0"/>
    <w:rPr>
      <w:vertAlign w:val="superscript"/>
    </w:rPr>
  </w:style>
  <w:style w:type="character" w:customStyle="1" w:styleId="Char0">
    <w:name w:val="纯文本 Char"/>
    <w:basedOn w:val="a0"/>
    <w:link w:val="a4"/>
    <w:uiPriority w:val="99"/>
    <w:qFormat/>
    <w:rsid w:val="005E75F0"/>
    <w:rPr>
      <w:rFonts w:ascii="宋体" w:eastAsia="宋体" w:hAnsi="Courier New" w:cs="Courier New"/>
      <w:szCs w:val="21"/>
    </w:rPr>
  </w:style>
  <w:style w:type="character" w:customStyle="1" w:styleId="Char2">
    <w:name w:val="页眉 Char"/>
    <w:basedOn w:val="a0"/>
    <w:link w:val="a7"/>
    <w:uiPriority w:val="99"/>
    <w:qFormat/>
    <w:rsid w:val="005E75F0"/>
    <w:rPr>
      <w:sz w:val="18"/>
      <w:szCs w:val="18"/>
    </w:rPr>
  </w:style>
  <w:style w:type="character" w:customStyle="1" w:styleId="Char4">
    <w:name w:val="页脚 Char"/>
    <w:basedOn w:val="a0"/>
    <w:link w:val="a6"/>
    <w:uiPriority w:val="99"/>
    <w:qFormat/>
    <w:rsid w:val="005E75F0"/>
    <w:rPr>
      <w:sz w:val="18"/>
      <w:szCs w:val="18"/>
    </w:rPr>
  </w:style>
  <w:style w:type="character" w:customStyle="1" w:styleId="1Char">
    <w:name w:val="标题 1 Char"/>
    <w:basedOn w:val="a0"/>
    <w:link w:val="1"/>
    <w:uiPriority w:val="9"/>
    <w:qFormat/>
    <w:rsid w:val="005E75F0"/>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E75F0"/>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E75F0"/>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E75F0"/>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E75F0"/>
    <w:rPr>
      <w:b/>
      <w:bCs/>
      <w:sz w:val="28"/>
      <w:szCs w:val="28"/>
    </w:rPr>
  </w:style>
  <w:style w:type="character" w:customStyle="1" w:styleId="6Char">
    <w:name w:val="标题 6 Char"/>
    <w:basedOn w:val="a0"/>
    <w:link w:val="6"/>
    <w:uiPriority w:val="9"/>
    <w:semiHidden/>
    <w:qFormat/>
    <w:rsid w:val="005E75F0"/>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E75F0"/>
    <w:rPr>
      <w:b/>
      <w:bCs/>
      <w:sz w:val="24"/>
      <w:szCs w:val="24"/>
    </w:rPr>
  </w:style>
  <w:style w:type="character" w:customStyle="1" w:styleId="8Char">
    <w:name w:val="标题 8 Char"/>
    <w:basedOn w:val="a0"/>
    <w:link w:val="8"/>
    <w:uiPriority w:val="9"/>
    <w:semiHidden/>
    <w:qFormat/>
    <w:rsid w:val="005E75F0"/>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E75F0"/>
    <w:rPr>
      <w:kern w:val="2"/>
      <w:sz w:val="18"/>
      <w:szCs w:val="18"/>
    </w:rPr>
  </w:style>
  <w:style w:type="character" w:customStyle="1" w:styleId="15">
    <w:name w:val="15"/>
    <w:basedOn w:val="a0"/>
    <w:qFormat/>
    <w:rsid w:val="005E75F0"/>
    <w:rPr>
      <w:rFonts w:ascii="Times New Roman" w:hAnsi="Times New Roman" w:cs="Times New Roman" w:hint="default"/>
      <w:b/>
      <w:bCs/>
    </w:rPr>
  </w:style>
  <w:style w:type="character" w:customStyle="1" w:styleId="Char">
    <w:name w:val="正文文本缩进 Char"/>
    <w:basedOn w:val="a0"/>
    <w:link w:val="a3"/>
    <w:uiPriority w:val="99"/>
    <w:qFormat/>
    <w:rsid w:val="005E75F0"/>
    <w:rPr>
      <w:rFonts w:ascii="Times New Roman" w:eastAsia="宋体" w:hAnsi="Times New Roman" w:cs="Times New Roman"/>
      <w:kern w:val="2"/>
      <w:sz w:val="21"/>
      <w:szCs w:val="21"/>
    </w:rPr>
  </w:style>
  <w:style w:type="character" w:customStyle="1" w:styleId="Char3">
    <w:name w:val="标题 Char"/>
    <w:basedOn w:val="a0"/>
    <w:link w:val="aa"/>
    <w:qFormat/>
    <w:rsid w:val="005E75F0"/>
    <w:rPr>
      <w:rFonts w:ascii="Cambria" w:eastAsia="宋体" w:hAnsi="Cambria" w:cs="Cambria" w:hint="default"/>
      <w:b/>
      <w:kern w:val="2"/>
      <w:sz w:val="32"/>
      <w:szCs w:val="32"/>
    </w:rPr>
  </w:style>
  <w:style w:type="character" w:customStyle="1" w:styleId="Char10">
    <w:name w:val="页脚 Char1"/>
    <w:basedOn w:val="a0"/>
    <w:link w:val="a6"/>
    <w:qFormat/>
    <w:rsid w:val="005E75F0"/>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11C7E4-0E3C-4755-A34D-E32A6A84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