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国际航行船舶进出</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中华人民共和国口岸检查办法</w:t>
      </w:r>
    </w:p>
    <w:p>
      <w:pPr>
        <w:pStyle w:val="11"/>
        <w:ind w:firstLine="664" w:firstLineChars="200"/>
        <w:jc w:val="left"/>
        <w:rPr>
          <w:rFonts w:hint="eastAsia" w:ascii="楷体_GB2312" w:hAnsi="楷体_GB2312" w:eastAsia="楷体_GB2312" w:cs="楷体_GB2312"/>
          <w:b w:val="0"/>
          <w:bCs w:val="0"/>
          <w:spacing w:val="6"/>
          <w:sz w:val="32"/>
          <w:szCs w:val="32"/>
        </w:rPr>
      </w:pPr>
    </w:p>
    <w:p>
      <w:pPr>
        <w:pStyle w:val="11"/>
        <w:ind w:firstLine="664" w:firstLineChars="200"/>
        <w:jc w:val="left"/>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(1995年3月21日中华人民共和国国务院令第175号发布　自发布之日起施行</w:t>
      </w:r>
      <w:r>
        <w:rPr>
          <w:rFonts w:hint="eastAsia" w:ascii="楷体_GB2312" w:hAnsi="楷体_GB2312" w:eastAsia="楷体_GB2312" w:cs="楷体_GB2312"/>
          <w:b w:val="0"/>
          <w:bCs w:val="0"/>
          <w:spacing w:val="6"/>
          <w:sz w:val="32"/>
          <w:szCs w:val="32"/>
          <w:lang w:val="en-US" w:eastAsia="zh-CN"/>
        </w:rPr>
        <w:t>)</w:t>
      </w:r>
    </w:p>
    <w:p>
      <w:pPr>
        <w:pStyle w:val="11"/>
        <w:ind w:firstLine="664" w:firstLineChars="200"/>
        <w:jc w:val="left"/>
        <w:rPr>
          <w:rFonts w:hint="eastAsia" w:ascii="楷体_GB2312" w:hAnsi="楷体_GB2312" w:eastAsia="楷体_GB2312" w:cs="楷体_GB2312"/>
          <w:b w:val="0"/>
          <w:bCs w:val="0"/>
          <w:spacing w:val="6"/>
          <w:sz w:val="32"/>
          <w:szCs w:val="32"/>
          <w:lang w:val="en-US" w:eastAsia="zh-CN"/>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为了加强对国际航行船舶进出中华人民共和国口岸的管理，便利船舶进出口岸，提高口岸效能，制定本办法。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进出中华人民共和国口岸的国际</w:t>
      </w:r>
      <w:r>
        <w:rPr>
          <w:rFonts w:hint="eastAsia" w:ascii="仿宋_GB2312" w:hAnsi="仿宋_GB2312" w:eastAsia="仿宋_GB2312" w:cs="仿宋_GB2312"/>
          <w:sz w:val="32"/>
          <w:szCs w:val="32"/>
        </w:rPr>
        <w:t>航行船舶(以下简称船舶)及其所载船员、旅客、货物和其他物品，由本办法第三</w:t>
      </w:r>
      <w:r>
        <w:rPr>
          <w:rFonts w:ascii="Times New Roman" w:hAnsi="Times New Roman" w:eastAsia="仿宋_GB2312" w:cs="Times New Roman"/>
          <w:sz w:val="32"/>
          <w:szCs w:val="32"/>
        </w:rPr>
        <w:t>条规定的机关依照本办法实施检查；但是，法律另有特别规定的，或者国务院另有特别规定的，从其规定。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中华人民</w:t>
      </w:r>
      <w:r>
        <w:rPr>
          <w:rFonts w:hint="eastAsia" w:ascii="仿宋_GB2312" w:hAnsi="仿宋_GB2312" w:eastAsia="仿宋_GB2312" w:cs="仿宋_GB2312"/>
          <w:sz w:val="32"/>
          <w:szCs w:val="32"/>
        </w:rPr>
        <w:t>共和国港务监督机构(以下简称港务监督机构)、中华人民共和国海关(以下简称海关)、中华人民共和国边防检查机关(以下简称边防检查机关)、中华人民共和国国境卫生检疫机关(以下简称卫生检疫机关)和中华人民共和国动植物检疫机关(以下简称动植物检疫机关)是负责对船舶进出中华人民共和国口岸实施检查的机关(以下统称检查机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检查机关依照有关法律、行政法规的规定实施检查并对违法行为进行处理。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港务监督机构负责召集有其他检查机关参加的船舶进出口岸检查联席会议，研究、解决船舶进出口岸检查的有关问题。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船舶进出中华人民共和国口岸，由船方或其代理人依照本办法有关规定办理进出口岸手续。除本办法第十条第二款、第十一条规定的情形或者其他特殊情形外，检查机关不登船检查。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船方或其代理人办理船舶进出口岸手续时，应当按照检查机关的有关规定准确填写报表，并如实提供有关证件、资料。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船方或其代</w:t>
      </w:r>
      <w:r>
        <w:rPr>
          <w:rFonts w:hint="eastAsia" w:ascii="仿宋_GB2312" w:hAnsi="仿宋_GB2312" w:eastAsia="仿宋_GB2312" w:cs="仿宋_GB2312"/>
          <w:sz w:val="32"/>
          <w:szCs w:val="32"/>
        </w:rPr>
        <w:t>理人应当在船舶预计抵达口岸7日前(航程不足7日的，在驶离上一口岸时)，填写《国际航行船舶进口岸申请书》，报请抵达口岸的港务监督机构审批。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拟进入长江水域的船舶，船方或其代理人应当在船舶预计经上海港区7日前(航程不足7日的，在驶离上一口岸时)，填写《国际航行船舶进口岸申请书》，报请抵达口岸的港务监督机构审批。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船方或其代理人</w:t>
      </w:r>
      <w:r>
        <w:rPr>
          <w:rFonts w:hint="eastAsia" w:ascii="仿宋_GB2312" w:hAnsi="仿宋_GB2312" w:eastAsia="仿宋_GB2312" w:cs="仿宋_GB2312"/>
          <w:sz w:val="32"/>
          <w:szCs w:val="32"/>
        </w:rPr>
        <w:t>应当在船舶预计抵达口岸24小时前(航程不足24小时的，在驶离上一口岸时)，将抵达时间、停泊地点、靠泊移泊计划及船员、旅客的有关情况报告检查机关。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船方或其</w:t>
      </w:r>
      <w:r>
        <w:rPr>
          <w:rFonts w:hint="eastAsia" w:ascii="仿宋_GB2312" w:hAnsi="仿宋_GB2312" w:eastAsia="仿宋_GB2312" w:cs="仿宋_GB2312"/>
          <w:sz w:val="32"/>
          <w:szCs w:val="32"/>
        </w:rPr>
        <w:t>代理人在船舶抵达口岸前未办妥进口岸手续的，须在船舶抵达口岸24小时内到检查机关办理进口岸手续。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船舶在口岸停泊</w:t>
      </w:r>
      <w:r>
        <w:rPr>
          <w:rFonts w:hint="eastAsia" w:ascii="仿宋_GB2312" w:hAnsi="仿宋_GB2312" w:eastAsia="仿宋_GB2312" w:cs="仿宋_GB2312"/>
          <w:sz w:val="32"/>
          <w:szCs w:val="32"/>
        </w:rPr>
        <w:t>时间不足24小时的，经检查机关同意，船方或其代理人在办理进口岸手续时，可以同时办理出</w:t>
      </w:r>
      <w:r>
        <w:rPr>
          <w:rFonts w:ascii="Times New Roman" w:hAnsi="Times New Roman" w:eastAsia="仿宋_GB2312" w:cs="Times New Roman"/>
          <w:sz w:val="32"/>
          <w:szCs w:val="32"/>
        </w:rPr>
        <w:t>口岸手续。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船方或其代理人在船舶抵达口岸前已经办妥进口岸手续的，船舶抵达后即可上下人员、装卸货物和其他物品。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方或其代理人在船舶抵达口岸前未办妥进口岸手续的，船舶抵达后，除检查机关办理进口岸检查手续的工作人员和引航员外，其他人员不得上下船舶、不得装卸货物和其他物品；船舶进出的上一口岸是中华人民共和国口岸的，船舶抵达后即可上下人员、装卸货物和其他物品，但是应当立即办理进口岸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卫生检疫机关对船舶实施电讯检疫。持有卫生证书的船舶，其船方或其代理人可以向卫生检疫机关申请电讯检疫。</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来自疫区的船舶，载有检疫传染病染疫人、疑似检疫传染病染疫人、非意外伤害而死亡且死因不明尸体的船舶，未持有卫生证书或者证书过期或者卫生状况不符合要求的船舶，卫生检疫机关应当在锚地实施检疫。</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动植物检疫机关对来自动植物疫区的船舶和船舶装载的动植物、动植物产品及其他检疫物，可以在锚地实施检疫。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船方或</w:t>
      </w:r>
      <w:r>
        <w:rPr>
          <w:rFonts w:hint="eastAsia" w:ascii="仿宋_GB2312" w:hAnsi="仿宋_GB2312" w:eastAsia="仿宋_GB2312" w:cs="仿宋_GB2312"/>
          <w:sz w:val="32"/>
          <w:szCs w:val="32"/>
        </w:rPr>
        <w:t>其代理人应当在船舶驶离口岸前4小时内(船舶在口岸停泊时间不足4小时的，在抵达口岸时)，到检查</w:t>
      </w:r>
      <w:r>
        <w:rPr>
          <w:rFonts w:ascii="Times New Roman" w:hAnsi="Times New Roman" w:eastAsia="仿宋_GB2312" w:cs="Times New Roman"/>
          <w:sz w:val="32"/>
          <w:szCs w:val="32"/>
        </w:rPr>
        <w:t>机关办理必要的</w:t>
      </w:r>
      <w:r>
        <w:rPr>
          <w:rFonts w:hint="eastAsia" w:ascii="仿宋_GB2312" w:hAnsi="仿宋_GB2312" w:eastAsia="仿宋_GB2312" w:cs="仿宋_GB2312"/>
          <w:sz w:val="32"/>
          <w:szCs w:val="32"/>
        </w:rPr>
        <w:t>出口岸手续。有关检查机关应当在《船舶出口岸手续联系单》上签注；船方或其代理人持《船舶出口岸手续联系单》和港务监督机构要求的其他证件、资料，到港务监督机构申请领取出口岸许可证。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船舶领取出口岸</w:t>
      </w:r>
      <w:r>
        <w:rPr>
          <w:rFonts w:hint="eastAsia" w:ascii="仿宋_GB2312" w:hAnsi="仿宋_GB2312" w:eastAsia="仿宋_GB2312" w:cs="仿宋_GB2312"/>
          <w:sz w:val="32"/>
          <w:szCs w:val="32"/>
        </w:rPr>
        <w:t>许可证后，情况发生变化或者24小时内未能驶离口岸的，船方或其代理人应当报告港务监督机构，由港务监督机构商其他检查机关决定是否重新办理出</w:t>
      </w:r>
      <w:r>
        <w:rPr>
          <w:rFonts w:ascii="Times New Roman" w:hAnsi="Times New Roman" w:eastAsia="仿宋_GB2312" w:cs="Times New Roman"/>
          <w:sz w:val="32"/>
          <w:szCs w:val="32"/>
        </w:rPr>
        <w:t>口岸手续。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定航线、定船</w:t>
      </w:r>
      <w:r>
        <w:rPr>
          <w:rFonts w:hint="eastAsia" w:ascii="仿宋_GB2312" w:hAnsi="仿宋_GB2312" w:eastAsia="仿宋_GB2312" w:cs="仿宋_GB2312"/>
          <w:sz w:val="32"/>
          <w:szCs w:val="32"/>
        </w:rPr>
        <w:t>员并在24小时内往返一个或者一个以上航次的船舶，船方或其代理人可以向港务监督机构书面申请办理定期进出口岸手续。受理申请的港务监督机构商其他检查机关审查批准后，签发有效期不超过7天的定期出口岸许可证，在许可证有效期内对该船舶免办进口岸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检查机关及其工作人员必须秉公执法，恪尽职守，及时实施检查和办理船舶进出口岸的申请。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本办法下列用</w:t>
      </w:r>
      <w:r>
        <w:rPr>
          <w:rFonts w:hint="eastAsia" w:ascii="仿宋_GB2312" w:hAnsi="仿宋_GB2312" w:eastAsia="仿宋_GB2312" w:cs="仿宋_GB2312"/>
          <w:sz w:val="32"/>
          <w:szCs w:val="32"/>
        </w:rPr>
        <w:t>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(一)国际航行船舶，是指进出中华人民共和国口岸的外国籍船舶和航行国际航线的中华人民共和国国籍船舶。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(二)口岸，是指国家批准可以进出国际航行船舶的港口。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(三)船方，是指船舶所有人或者经营人。</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本办法</w:t>
      </w:r>
      <w:bookmarkStart w:id="0" w:name="_GoBack"/>
      <w:r>
        <w:rPr>
          <w:rFonts w:hint="eastAsia" w:ascii="仿宋_GB2312" w:hAnsi="仿宋_GB2312" w:eastAsia="仿宋_GB2312" w:cs="仿宋_GB2312"/>
          <w:sz w:val="32"/>
          <w:szCs w:val="32"/>
        </w:rPr>
        <w:t>自发布之日起施行。经国务院批准，1961年10月24日由交通部、对外贸易部、公安部、卫生部发布的《进出口船舶联合检查通则》同时废止。</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07CBB"/>
    <w:rsid w:val="5D0B40ED"/>
    <w:rsid w:val="5D101449"/>
    <w:rsid w:val="5D5B758E"/>
    <w:rsid w:val="5D663F23"/>
    <w:rsid w:val="5DB22BFD"/>
    <w:rsid w:val="5DC97723"/>
    <w:rsid w:val="5DD739B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52</Words>
  <Characters>59</Characters>
  <Lines>69</Lines>
  <Paragraphs>19</Paragraphs>
  <TotalTime>0</TotalTime>
  <ScaleCrop>false</ScaleCrop>
  <LinksUpToDate>false</LinksUpToDate>
  <CharactersWithSpaces>60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2022-05-23T09:16:55Z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