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7C" w:rsidRDefault="009D7E7C">
      <w:pPr>
        <w:jc w:val="center"/>
        <w:rPr>
          <w:b/>
          <w:bCs/>
          <w:sz w:val="44"/>
          <w:szCs w:val="44"/>
        </w:rPr>
      </w:pPr>
    </w:p>
    <w:p w:rsidR="009D7E7C" w:rsidRDefault="0061021E">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中华人民共和国水生野生动物保护实施条例</w:t>
      </w:r>
    </w:p>
    <w:p w:rsidR="009D7E7C" w:rsidRDefault="0061021E">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(1993</w:t>
      </w:r>
      <w:r>
        <w:rPr>
          <w:rFonts w:ascii="楷体_GB2312" w:eastAsia="楷体_GB2312" w:hAnsi="楷体_GB2312" w:cs="楷体_GB2312" w:hint="eastAsia"/>
          <w:bCs w:val="0"/>
        </w:rPr>
        <w:t>年</w:t>
      </w:r>
      <w:r>
        <w:rPr>
          <w:rFonts w:ascii="楷体_GB2312" w:eastAsia="楷体_GB2312" w:hAnsi="楷体_GB2312" w:cs="楷体_GB2312" w:hint="eastAsia"/>
          <w:bCs w:val="0"/>
        </w:rPr>
        <w:t>9</w:t>
      </w:r>
      <w:r>
        <w:rPr>
          <w:rFonts w:ascii="楷体_GB2312" w:eastAsia="楷体_GB2312" w:hAnsi="楷体_GB2312" w:cs="楷体_GB2312" w:hint="eastAsia"/>
          <w:bCs w:val="0"/>
        </w:rPr>
        <w:t>月</w:t>
      </w:r>
      <w:r>
        <w:rPr>
          <w:rFonts w:ascii="楷体_GB2312" w:eastAsia="楷体_GB2312" w:hAnsi="楷体_GB2312" w:cs="楷体_GB2312" w:hint="eastAsia"/>
          <w:bCs w:val="0"/>
        </w:rPr>
        <w:t>17</w:t>
      </w:r>
      <w:r>
        <w:rPr>
          <w:rFonts w:ascii="楷体_GB2312" w:eastAsia="楷体_GB2312" w:hAnsi="楷体_GB2312" w:cs="楷体_GB2312" w:hint="eastAsia"/>
          <w:bCs w:val="0"/>
        </w:rPr>
        <w:t xml:space="preserve">日国务院批准　</w:t>
      </w:r>
      <w:r>
        <w:rPr>
          <w:rFonts w:ascii="楷体_GB2312" w:eastAsia="楷体_GB2312" w:hAnsi="楷体_GB2312" w:cs="楷体_GB2312" w:hint="eastAsia"/>
          <w:bCs w:val="0"/>
        </w:rPr>
        <w:t>1993</w:t>
      </w:r>
      <w:r>
        <w:rPr>
          <w:rFonts w:ascii="楷体_GB2312" w:eastAsia="楷体_GB2312" w:hAnsi="楷体_GB2312" w:cs="楷体_GB2312" w:hint="eastAsia"/>
          <w:bCs w:val="0"/>
        </w:rPr>
        <w:t>年</w:t>
      </w:r>
      <w:r>
        <w:rPr>
          <w:rFonts w:ascii="楷体_GB2312" w:eastAsia="楷体_GB2312" w:hAnsi="楷体_GB2312" w:cs="楷体_GB2312" w:hint="eastAsia"/>
          <w:bCs w:val="0"/>
        </w:rPr>
        <w:t>10</w:t>
      </w:r>
      <w:r>
        <w:rPr>
          <w:rFonts w:ascii="楷体_GB2312" w:eastAsia="楷体_GB2312" w:hAnsi="楷体_GB2312" w:cs="楷体_GB2312" w:hint="eastAsia"/>
          <w:bCs w:val="0"/>
        </w:rPr>
        <w:t>月</w:t>
      </w:r>
      <w:r>
        <w:rPr>
          <w:rFonts w:ascii="楷体_GB2312" w:eastAsia="楷体_GB2312" w:hAnsi="楷体_GB2312" w:cs="楷体_GB2312" w:hint="eastAsia"/>
          <w:bCs w:val="0"/>
        </w:rPr>
        <w:t>5</w:t>
      </w:r>
      <w:r>
        <w:rPr>
          <w:rFonts w:ascii="楷体_GB2312" w:eastAsia="楷体_GB2312" w:hAnsi="楷体_GB2312" w:cs="楷体_GB2312" w:hint="eastAsia"/>
          <w:bCs w:val="0"/>
        </w:rPr>
        <w:t>日农业部令第</w:t>
      </w:r>
      <w:r>
        <w:rPr>
          <w:rFonts w:ascii="楷体_GB2312" w:eastAsia="楷体_GB2312" w:hAnsi="楷体_GB2312" w:cs="楷体_GB2312" w:hint="eastAsia"/>
          <w:bCs w:val="0"/>
        </w:rPr>
        <w:t>1</w:t>
      </w:r>
      <w:r>
        <w:rPr>
          <w:rFonts w:ascii="楷体_GB2312" w:eastAsia="楷体_GB2312" w:hAnsi="楷体_GB2312" w:cs="楷体_GB2312" w:hint="eastAsia"/>
          <w:bCs w:val="0"/>
        </w:rPr>
        <w:t>号发布　根据</w:t>
      </w:r>
      <w:r>
        <w:rPr>
          <w:rFonts w:ascii="楷体_GB2312" w:eastAsia="楷体_GB2312" w:hAnsi="楷体_GB2312" w:cs="楷体_GB2312" w:hint="eastAsia"/>
          <w:bCs w:val="0"/>
        </w:rPr>
        <w:t>2011</w:t>
      </w:r>
      <w:r>
        <w:rPr>
          <w:rFonts w:ascii="楷体_GB2312" w:eastAsia="楷体_GB2312" w:hAnsi="楷体_GB2312" w:cs="楷体_GB2312" w:hint="eastAsia"/>
          <w:bCs w:val="0"/>
        </w:rPr>
        <w:t>年</w:t>
      </w:r>
      <w:r>
        <w:rPr>
          <w:rFonts w:ascii="楷体_GB2312" w:eastAsia="楷体_GB2312" w:hAnsi="楷体_GB2312" w:cs="楷体_GB2312" w:hint="eastAsia"/>
          <w:bCs w:val="0"/>
        </w:rPr>
        <w:t>1</w:t>
      </w:r>
      <w:r>
        <w:rPr>
          <w:rFonts w:ascii="楷体_GB2312" w:eastAsia="楷体_GB2312" w:hAnsi="楷体_GB2312" w:cs="楷体_GB2312" w:hint="eastAsia"/>
          <w:bCs w:val="0"/>
        </w:rPr>
        <w:t>月</w:t>
      </w:r>
      <w:r>
        <w:rPr>
          <w:rFonts w:ascii="楷体_GB2312" w:eastAsia="楷体_GB2312" w:hAnsi="楷体_GB2312" w:cs="楷体_GB2312" w:hint="eastAsia"/>
          <w:bCs w:val="0"/>
        </w:rPr>
        <w:t>8</w:t>
      </w:r>
      <w:r>
        <w:rPr>
          <w:rFonts w:ascii="楷体_GB2312" w:eastAsia="楷体_GB2312" w:hAnsi="楷体_GB2312" w:cs="楷体_GB2312" w:hint="eastAsia"/>
          <w:bCs w:val="0"/>
        </w:rPr>
        <w:t>日《国务院关于废止和修改部分行政法规的决定》修订</w:t>
      </w:r>
      <w:r>
        <w:rPr>
          <w:rFonts w:ascii="楷体_GB2312" w:eastAsia="楷体_GB2312" w:hAnsi="楷体_GB2312" w:cs="楷体_GB2312" w:hint="eastAsia"/>
          <w:bCs w:val="0"/>
        </w:rPr>
        <w:t>)</w:t>
      </w:r>
    </w:p>
    <w:p w:rsidR="009D7E7C" w:rsidRDefault="0061021E">
      <w:pPr>
        <w:pStyle w:val="2"/>
      </w:pPr>
      <w:r>
        <w:rPr>
          <w:rFonts w:ascii="Times New Roman" w:hAnsi="Times New Roman" w:cs="Times New Roman"/>
        </w:rPr>
        <w:t>第一章　总　　则</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根据《中华人民</w:t>
      </w:r>
      <w:r>
        <w:rPr>
          <w:rFonts w:ascii="仿宋_GB2312" w:eastAsia="仿宋_GB2312" w:hAnsi="仿宋_GB2312" w:cs="仿宋_GB2312" w:hint="eastAsia"/>
          <w:sz w:val="32"/>
          <w:szCs w:val="32"/>
        </w:rPr>
        <w:t>共和国野生动物保护法》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以下简称《野生动物保护法》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w:t>
      </w:r>
      <w:r>
        <w:rPr>
          <w:rFonts w:ascii="Times New Roman" w:eastAsia="仿宋_GB2312" w:hAnsi="Times New Roman" w:cs="Times New Roman"/>
          <w:sz w:val="32"/>
          <w:szCs w:val="32"/>
        </w:rPr>
        <w:t>条例。</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本条例所称水生野生动物，是指珍贵、濒危的水生野生动物；所称水生野生动物产品，是指珍贵、濒危的水生野生动物的任何部分及其衍生物。</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国务院渔业行</w:t>
      </w:r>
      <w:r>
        <w:rPr>
          <w:rFonts w:ascii="仿宋_GB2312" w:eastAsia="仿宋_GB2312" w:hAnsi="仿宋_GB2312" w:cs="仿宋_GB2312" w:hint="eastAsia"/>
          <w:sz w:val="32"/>
          <w:szCs w:val="32"/>
        </w:rPr>
        <w:t>政主管部门主管全国水生野生动物管理工作。</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县级以上地方人民政府渔业行政主管部门主管本行政区域内水生野生动物管理工作。</w:t>
      </w:r>
    </w:p>
    <w:p w:rsidR="009D7E7C" w:rsidRDefault="0061021E">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《野生动物保护法》和本条例规定的渔业行政主管部门的行</w:t>
      </w:r>
      <w:r>
        <w:rPr>
          <w:rFonts w:ascii="Times New Roman" w:eastAsia="仿宋_GB2312" w:hAnsi="Times New Roman" w:cs="Times New Roman"/>
          <w:sz w:val="32"/>
          <w:szCs w:val="32"/>
        </w:rPr>
        <w:t>政处罚权，可以由其所属的渔政监督管理机构行使。</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县级以</w:t>
      </w:r>
      <w:r>
        <w:rPr>
          <w:rFonts w:ascii="Times New Roman" w:eastAsia="仿宋_GB2312" w:hAnsi="Times New Roman" w:cs="Times New Roman"/>
          <w:spacing w:val="-6"/>
          <w:sz w:val="32"/>
          <w:szCs w:val="32"/>
        </w:rPr>
        <w:t>上各级人民政府及其有关主管部门应当鼓</w:t>
      </w:r>
      <w:r>
        <w:rPr>
          <w:rFonts w:ascii="Times New Roman" w:eastAsia="仿宋_GB2312" w:hAnsi="Times New Roman" w:cs="Times New Roman"/>
          <w:spacing w:val="-6"/>
          <w:sz w:val="32"/>
          <w:szCs w:val="32"/>
        </w:rPr>
        <w:lastRenderedPageBreak/>
        <w:t>励、支持有关科研单位、教学单位开展水生野生动物科学研究工</w:t>
      </w:r>
      <w:r>
        <w:rPr>
          <w:rFonts w:ascii="Times New Roman" w:eastAsia="仿宋_GB2312" w:hAnsi="Times New Roman" w:cs="Times New Roman"/>
          <w:sz w:val="32"/>
          <w:szCs w:val="32"/>
        </w:rPr>
        <w:t>作。</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渔业行政主管部</w:t>
      </w:r>
      <w:r>
        <w:rPr>
          <w:rFonts w:ascii="仿宋_GB2312" w:eastAsia="仿宋_GB2312" w:hAnsi="仿宋_GB2312" w:cs="仿宋_GB2312" w:hint="eastAsia"/>
          <w:sz w:val="32"/>
          <w:szCs w:val="32"/>
        </w:rPr>
        <w:t>门及其所属的渔政监督管理机构，有权对《野生动物保护法》和本条例的实施情况进行监督检查，被检查的单位和个人应当给予配合。</w:t>
      </w:r>
    </w:p>
    <w:p w:rsidR="009D7E7C" w:rsidRDefault="0061021E">
      <w:pPr>
        <w:pStyle w:val="2"/>
      </w:pPr>
      <w:r>
        <w:t>第二章　水生野生动物保护</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国务院渔业行政主管部门和省、自治区、直辖市人民政府渔业行政主管部门，应当定期组织水生野生动物资源调查，建立资源档案，为制定水生野生动物资源保护发展规划、制定和调整国家和地方重点保护水生野生动物名录提供依据。</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渔业行政主管部门应当组织社会各方面力量，采取有效措施，维护和改善水生野生动物的生存环境，保护和增殖水生野生动物资源。</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禁止任何单位和个人破坏国</w:t>
      </w:r>
      <w:r>
        <w:rPr>
          <w:rFonts w:ascii="Times New Roman" w:eastAsia="仿宋_GB2312" w:hAnsi="Times New Roman" w:cs="Times New Roman"/>
          <w:sz w:val="32"/>
          <w:szCs w:val="32"/>
        </w:rPr>
        <w:t>家重点保护的和地方重点保护的水生野生动物生息繁衍的水域、场所和生存条件。</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任何单位和个人对侵占或者破坏水生野生动物资源的行为，有权向当地渔业行政主管部门或者其所属的渔政监督管理机构检举和控告。</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任何单位和个人发现受伤、搁浅和因误入港湾、河汊而被困的水生野生动物时，应当及时报告当地渔业行政主管部</w:t>
      </w:r>
      <w:r>
        <w:rPr>
          <w:rFonts w:ascii="Times New Roman" w:eastAsia="仿宋_GB2312" w:hAnsi="Times New Roman" w:cs="Times New Roman"/>
          <w:sz w:val="32"/>
          <w:szCs w:val="32"/>
        </w:rPr>
        <w:lastRenderedPageBreak/>
        <w:t>门或者其所属的渔政监督管理机构，由其采取紧急救护措施；也可以要求附近具备救护条件的单位采取紧急救护措施，并报告渔业行政主管部门。已经死亡的水生野生动物，由渔业行政主管部门妥善处理。</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捕捞作业时误捕水生野</w:t>
      </w:r>
      <w:r>
        <w:rPr>
          <w:rFonts w:ascii="Times New Roman" w:eastAsia="仿宋_GB2312" w:hAnsi="Times New Roman" w:cs="Times New Roman"/>
          <w:sz w:val="32"/>
          <w:szCs w:val="32"/>
        </w:rPr>
        <w:t>生动物的，应当立即无条件放生。</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因保护国家重点保护的和地方重点保护的水生野生动物受到损失的，可以向当地人民政府渔业行政主管部门提出补偿要求。经调查属实并确实需要补偿的，由当地人民政府按照省、自治区、直辖市人民政府有关规定给予补偿。</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国务院渔业行政主管部门和省、自治区、直辖市人民政府，应当在国家重点保护的和地方重点保护的水生野生动物的主要生息繁衍的地区和水域，划定水生野生动物自然保护区，加强对国家和地方重点保护水生野生动物及其生存环境的保护管理，具体办法由国务院另行规定。</w:t>
      </w:r>
    </w:p>
    <w:p w:rsidR="009D7E7C" w:rsidRDefault="0061021E">
      <w:pPr>
        <w:pStyle w:val="2"/>
      </w:pPr>
      <w:r>
        <w:t>第三章　水生野生动</w:t>
      </w:r>
      <w:r>
        <w:t>物管理</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禁止捕捉、杀害国家重点保护的水生野生动物。</w:t>
      </w:r>
    </w:p>
    <w:p w:rsidR="009D7E7C" w:rsidRDefault="0061021E">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有下列情形之一，确需捕捉国家重点保护的水生野生动物的，必须申请特许捕</w:t>
      </w:r>
      <w:r>
        <w:rPr>
          <w:rFonts w:ascii="仿宋_GB2312" w:eastAsia="仿宋_GB2312" w:hAnsi="仿宋_GB2312" w:cs="仿宋_GB2312" w:hint="eastAsia"/>
          <w:sz w:val="32"/>
          <w:szCs w:val="32"/>
        </w:rPr>
        <w:t>捉证：</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为进行水生野生动物科学考察、资源调查，必须捕捉的；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为驯养繁殖国家重点保护的水生野生动物，必须从自然</w:t>
      </w:r>
      <w:r>
        <w:rPr>
          <w:rFonts w:ascii="Times New Roman" w:eastAsia="仿宋_GB2312" w:hAnsi="Times New Roman" w:cs="Times New Roman"/>
          <w:sz w:val="32"/>
          <w:szCs w:val="32"/>
        </w:rPr>
        <w:t>水域或</w:t>
      </w:r>
      <w:r>
        <w:rPr>
          <w:rFonts w:ascii="仿宋_GB2312" w:eastAsia="仿宋_GB2312" w:hAnsi="仿宋_GB2312" w:cs="仿宋_GB2312" w:hint="eastAsia"/>
          <w:sz w:val="32"/>
          <w:szCs w:val="32"/>
        </w:rPr>
        <w:t>者场所获取种源的；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为承担省级以上科学研究项目或者国家医药生产任务，必须从自然水域或者场所获取国家重点保护的水生野生动物的；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为宣传、普及水生野生动物知识或者教学、展览的需要，必须从自然水域或者场所获取国家重点保护的水生野生动物的；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因其他特殊情况，必须捕捉的。</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申请特许捕</w:t>
      </w:r>
      <w:r>
        <w:rPr>
          <w:rFonts w:ascii="仿宋_GB2312" w:eastAsia="仿宋_GB2312" w:hAnsi="仿宋_GB2312" w:cs="仿宋_GB2312" w:hint="eastAsia"/>
          <w:sz w:val="32"/>
          <w:szCs w:val="32"/>
        </w:rPr>
        <w:t>捉证的程序：</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需要捕捉国家一级保护水生野生动物的，必须附具申请人所在地和捕捉地的省、自治区、直辖市人民政府渔业行政主管部门签署的意见，向国务院渔业行政主管部门申请特许捕捉证；</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需要在本省、自治区、直辖市捕捉国家二级保护水生野生动物的，必须附具申请人所在地的县级人民政府渔业行政主管部门签署的意见，向省、自治区、直辖市人民政府渔业行政主管</w:t>
      </w:r>
      <w:r>
        <w:rPr>
          <w:rFonts w:ascii="Times New Roman" w:eastAsia="仿宋_GB2312" w:hAnsi="Times New Roman" w:cs="Times New Roman"/>
          <w:sz w:val="32"/>
          <w:szCs w:val="32"/>
        </w:rPr>
        <w:t>部门申请特许</w:t>
      </w:r>
      <w:r>
        <w:rPr>
          <w:rFonts w:ascii="仿宋_GB2312" w:eastAsia="仿宋_GB2312" w:hAnsi="仿宋_GB2312" w:cs="仿宋_GB2312" w:hint="eastAsia"/>
          <w:sz w:val="32"/>
          <w:szCs w:val="32"/>
        </w:rPr>
        <w:t>捕捉证；</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需要跨省、自治区、直辖市捕捉国家二级保护水生野生动物的，必须附具申请人所在地的省、自治区、直辖市人民政府渔业行政主管部门签署的意见，向捕捉地的省、自治区、直辖市人民政府渔业行政主管部门申请特许捕捉证。</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动物园申请捕捉国家一级保护水生野生动物的，在向国务院</w:t>
      </w:r>
      <w:r>
        <w:rPr>
          <w:rFonts w:ascii="仿宋_GB2312" w:eastAsia="仿宋_GB2312" w:hAnsi="仿宋_GB2312" w:cs="仿宋_GB2312" w:hint="eastAsia"/>
          <w:sz w:val="32"/>
          <w:szCs w:val="32"/>
        </w:rPr>
        <w:lastRenderedPageBreak/>
        <w:t>渔业行政主管部门申请特许捕捉证前，须经国务院建设行政主管</w:t>
      </w:r>
      <w:r>
        <w:rPr>
          <w:rFonts w:ascii="Times New Roman" w:eastAsia="仿宋_GB2312" w:hAnsi="Times New Roman" w:cs="Times New Roman"/>
          <w:sz w:val="32"/>
          <w:szCs w:val="32"/>
        </w:rPr>
        <w:t>部门审核同意；申请捕捉</w:t>
      </w:r>
      <w:r>
        <w:rPr>
          <w:rFonts w:ascii="仿宋_GB2312" w:eastAsia="仿宋_GB2312" w:hAnsi="仿宋_GB2312" w:cs="仿宋_GB2312" w:hint="eastAsia"/>
          <w:sz w:val="32"/>
          <w:szCs w:val="32"/>
        </w:rPr>
        <w:t>国家二级保护水生野生动物的，在向申请人所在地的省、自治区、直辖市人民政府渔业行政主管部门申请特许捕捉证前，须经同级人民政府建设行政主管部门审核同意。</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负责核发特许捕捉证的部门</w:t>
      </w:r>
      <w:r>
        <w:rPr>
          <w:rFonts w:ascii="仿宋_GB2312" w:eastAsia="仿宋_GB2312" w:hAnsi="仿宋_GB2312" w:cs="仿宋_GB2312" w:hint="eastAsia"/>
          <w:sz w:val="32"/>
          <w:szCs w:val="32"/>
        </w:rPr>
        <w:t>接到申请后，应当自接到申请之日起</w:t>
      </w:r>
      <w:r w:rsidR="001E30D7">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个月内作出批准或者不批准的决定。</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有下</w:t>
      </w:r>
      <w:r>
        <w:rPr>
          <w:rFonts w:ascii="仿宋_GB2312" w:eastAsia="仿宋_GB2312" w:hAnsi="仿宋_GB2312" w:cs="仿宋_GB2312" w:hint="eastAsia"/>
          <w:sz w:val="32"/>
          <w:szCs w:val="32"/>
        </w:rPr>
        <w:t>列情形之一的，不予发放特许捕捉证：</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申请人有条件以合法的非捕捉方式获得国家重点保护的水生野生动物的种源、产品或者达到其目的的；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捕捉申请不符合国家有关规定，或者申请使用的捕捉工具、方法以及捕捉时间、地点不当的；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根据水生野生动物资源现状不宜捕捉的。</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取得特许捕捉证的单位和个人，必须按照特许捕捉证规定的种类、数量、地点、期限、工具和方法进行捕捉，防止误伤水生野生动物或者破坏其生存环境。捕捉作业完成后，</w:t>
      </w:r>
      <w:r>
        <w:rPr>
          <w:rFonts w:ascii="Times New Roman" w:eastAsia="仿宋_GB2312" w:hAnsi="Times New Roman" w:cs="Times New Roman"/>
          <w:sz w:val="32"/>
          <w:szCs w:val="32"/>
        </w:rPr>
        <w:t>应当及时向捕捉地的县级人民政府渔业行政主管部门或者其所属的渔政监督管理机构申请查验。</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县级人民政府渔业行政主管部门或者其所属的渔政监督管理机构对在本行政区域内捕捉国家重点保护的水生野生动物的</w:t>
      </w:r>
      <w:r>
        <w:rPr>
          <w:rFonts w:ascii="Times New Roman" w:eastAsia="仿宋_GB2312" w:hAnsi="Times New Roman" w:cs="Times New Roman"/>
          <w:sz w:val="32"/>
          <w:szCs w:val="32"/>
        </w:rPr>
        <w:lastRenderedPageBreak/>
        <w:t>活动，应当进行监督检查，并及时向批准捕捉的部门报告监督检查结果。</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外国人在中国境内进行有关水生野生动物科学考察、标本采集、拍摄电影、录像等活动的，必须向国家重点保护的水生野生动物所在地的省、自治区、直辖市人民政府渔业行政主管部门提出申请，经其审核后，报国务院渔业行政主管部门或者其授权的单位批准。</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驯养</w:t>
      </w:r>
      <w:r>
        <w:rPr>
          <w:rFonts w:ascii="Times New Roman" w:eastAsia="仿宋_GB2312" w:hAnsi="Times New Roman" w:cs="Times New Roman"/>
          <w:sz w:val="32"/>
          <w:szCs w:val="32"/>
        </w:rPr>
        <w:t>繁殖国家一级保护水生野生动物的，应当持有国务院渔业行政主管部门核发的驯养繁殖许可证；驯养繁殖国家二级保护水生野生动物的，应当持有省、自治区、直辖市人民政府渔业行政主管部门核发的驯养繁殖许可证。</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动物园驯养繁殖国家重点保护的水生野生动物的，渔业行政主管部门可以委托同级建设行政主管部门核发驯养繁殖许可证。</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禁止出售、收购国家重点保护的水生野生动物或者其产品。因科学研究、驯养繁殖、展览等特殊情况，需要出售、收购、利用国家一级保护水生野生动物或者其产品的，必须向省、自治区、直辖市人民政府渔业行政主管部门提</w:t>
      </w:r>
      <w:r>
        <w:rPr>
          <w:rFonts w:ascii="Times New Roman" w:eastAsia="仿宋_GB2312" w:hAnsi="Times New Roman" w:cs="Times New Roman"/>
          <w:sz w:val="32"/>
          <w:szCs w:val="32"/>
        </w:rPr>
        <w:t>出申请，经其签署意见后，报国务院渔业行政主管部门批准；需要出售、收购、利用国家二级保护水生野生动物或者其产品的，必须向省、自治区、直辖市人民政府渔业行政主管部门提出申请，并经其批准。</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 xml:space="preserve">第十九条　</w:t>
      </w:r>
      <w:r>
        <w:rPr>
          <w:rFonts w:ascii="Times New Roman" w:eastAsia="仿宋_GB2312" w:hAnsi="Times New Roman" w:cs="Times New Roman"/>
          <w:sz w:val="32"/>
          <w:szCs w:val="32"/>
        </w:rPr>
        <w:t>县级以上各级人民政府渔业行政主管部门和工商行政管理部门，应当对水生野生动物或者其产品的经营利用建立监督检查制度，加强对经营利用水生野生动物或者其产品的监督管理。</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对进入集贸市场的水生野生动物或者其产品，由工商行政管理部门进行监督管理，渔业行政主管部门给予协助；在集贸市场以外经营水生野生动物或者其产品，由渔业行政主管部</w:t>
      </w:r>
      <w:r>
        <w:rPr>
          <w:rFonts w:ascii="Times New Roman" w:eastAsia="仿宋_GB2312" w:hAnsi="Times New Roman" w:cs="Times New Roman"/>
          <w:sz w:val="32"/>
          <w:szCs w:val="32"/>
        </w:rPr>
        <w:t>门、工商行政管理部门或者其授权的单位进行监督管理。</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运输、携带国家重点保护的水生野生动物或者其产品出县境的，应当凭特许捕捉证或者驯养繁殖许可证，向县级人民政府渔业行政主管部门提出申请，报省、自治区、直辖市人民政府渔业行政主管部门或者其授权的单位批准。动物园之间因繁殖动物，需要运输国家重点保护的水生野生动物的，可以由省、自治区、直辖市人民政府渔业行政主管部门授权同级建设行政主管部门审批。</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交通、铁路、民航和邮政企业对没有合法运输证明的水生野生动物或者其产品，应当及时通知有关主管部门处理，</w:t>
      </w:r>
      <w:r>
        <w:rPr>
          <w:rFonts w:ascii="Times New Roman" w:eastAsia="仿宋_GB2312" w:hAnsi="Times New Roman" w:cs="Times New Roman"/>
          <w:sz w:val="32"/>
          <w:szCs w:val="32"/>
        </w:rPr>
        <w:t>不得承运、收寄。</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从国外引进水生野生动物的，应当向省、自治区、直辖市人民政府渔业行政主管部门提出申请，经省级以上人</w:t>
      </w:r>
      <w:r>
        <w:rPr>
          <w:rFonts w:ascii="Times New Roman" w:eastAsia="仿宋_GB2312" w:hAnsi="Times New Roman" w:cs="Times New Roman"/>
          <w:sz w:val="32"/>
          <w:szCs w:val="32"/>
        </w:rPr>
        <w:lastRenderedPageBreak/>
        <w:t>民政府渔业行政主管部门指定的科研机构进行科学论证后，报国务院渔业行政主管部门批准。</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出口国家重点保护的水生野生动物或者其产品的，进出口中国参加的国际公约所限制进出口的水生野生动物或者其产品的，必须经进出口单位或者个人所在地的省、自治区、直辖市人民政府渔业行政主管部门审核，报国务院渔业行政主管部门批准；属于贸易性进出口活动的，必须由具有有关商品进出口权的单位承担。</w:t>
      </w:r>
    </w:p>
    <w:p w:rsidR="009D7E7C" w:rsidRDefault="0061021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动物园因交换动物需要进出口前款所称水生野生动物的，在国务院渔业行政主管部门批准前，应当经国务院建设行政主管部门审核同意。</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利用水生野生动物或者其产品举办展览等活动的经济收益，主要用于水生野生动物保护事业。</w:t>
      </w:r>
    </w:p>
    <w:p w:rsidR="009D7E7C" w:rsidRDefault="009D7E7C">
      <w:pPr>
        <w:pStyle w:val="a4"/>
        <w:ind w:firstLineChars="200" w:firstLine="640"/>
        <w:rPr>
          <w:rFonts w:ascii="Times New Roman" w:eastAsia="仿宋_GB2312" w:hAnsi="Times New Roman" w:cs="Times New Roman"/>
          <w:sz w:val="32"/>
          <w:szCs w:val="32"/>
        </w:rPr>
      </w:pPr>
    </w:p>
    <w:p w:rsidR="009D7E7C" w:rsidRDefault="0061021E">
      <w:pPr>
        <w:pStyle w:val="2"/>
      </w:pPr>
      <w:r>
        <w:t>第四章　奖励和惩罚</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有下列事迹</w:t>
      </w:r>
      <w:r>
        <w:rPr>
          <w:rFonts w:ascii="仿宋_GB2312" w:eastAsia="仿宋_GB2312" w:hAnsi="仿宋_GB2312" w:cs="仿宋_GB2312" w:hint="eastAsia"/>
          <w:sz w:val="32"/>
          <w:szCs w:val="32"/>
        </w:rPr>
        <w:t>之一的单位和个人，由县级以上人民政府或者其渔业行政主管部门给予奖励：</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在水生野生动物资源调查、保护管理、宣传教育、开发利用方面有突出贡献的；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严格执行野生动物保护法规，成绩显著的；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拯救、保护和驯养繁殖水生野生动物取得显著成效的；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发现违反水生野生动物保护法律、法规的行为，及时制止或者检举有功的；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在查处破坏水生野生动物资源案件中作出重要贡献的；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在水生野生动物科学研究中取得重大成果或者在应用推广有关的科研成果中取得显著效益的；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在基层从事水生野生动物保护管理工作</w:t>
      </w:r>
      <w:r w:rsidR="001E30D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年以上并取得显著成绩的；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在水生野生动物保护管理工作中有其他特殊贡献的。</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非法捕杀国家重点保护的水生野生动物的，依照刑法有关规定追究刑事责任；情节显著轻微危害不大的，或者犯罪情节轻微不需要判处刑罚的，由渔业行政主管部门没收捕获物、捕</w:t>
      </w:r>
      <w:r>
        <w:rPr>
          <w:rFonts w:ascii="仿宋_GB2312" w:eastAsia="仿宋_GB2312" w:hAnsi="仿宋_GB2312" w:cs="仿宋_GB2312" w:hint="eastAsia"/>
          <w:sz w:val="32"/>
          <w:szCs w:val="32"/>
        </w:rPr>
        <w:t>捉工具和违法所得，吊销特许捕捉证，并处以相当于捕获物价值</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倍以下的罚款，没有捕获物的处以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违反野生动物保</w:t>
      </w:r>
      <w:r>
        <w:rPr>
          <w:rFonts w:ascii="仿宋_GB2312" w:eastAsia="仿宋_GB2312" w:hAnsi="仿宋_GB2312" w:cs="仿宋_GB2312" w:hint="eastAsia"/>
          <w:sz w:val="32"/>
          <w:szCs w:val="32"/>
        </w:rPr>
        <w:t>护法律、法规，在水生野生动物自然保护区破坏国家重点保护的或者地方重点保护的水生野生动物主要生息繁衍场所，依照《野生动物保护法》第三十四条的规定处以罚款的，罚款幅度为恢复原状所需费用的</w:t>
      </w:r>
      <w:r w:rsidR="001E30D7">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违反野生动物保护法律、法规，出售、收购、</w:t>
      </w:r>
      <w:r>
        <w:rPr>
          <w:rFonts w:ascii="Times New Roman" w:eastAsia="仿宋_GB2312" w:hAnsi="Times New Roman" w:cs="Times New Roman"/>
          <w:sz w:val="32"/>
          <w:szCs w:val="32"/>
        </w:rPr>
        <w:lastRenderedPageBreak/>
        <w:t>运输、携带国家重点保护的或者地方重点保护的水生野生动物或者其产品的，由工商行政管理部门或者其授权的渔业行政主管部门没收实物和违法所</w:t>
      </w:r>
      <w:r>
        <w:rPr>
          <w:rFonts w:ascii="Times New Roman" w:eastAsia="仿宋_GB2312" w:hAnsi="Times New Roman" w:cs="Times New Roman"/>
          <w:sz w:val="32"/>
          <w:szCs w:val="32"/>
        </w:rPr>
        <w:t>得，可以并处相当于实物价值</w:t>
      </w:r>
      <w:r w:rsidR="001E30D7">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倍以下的罚款。</w:t>
      </w:r>
    </w:p>
    <w:p w:rsidR="009D7E7C" w:rsidRDefault="0061021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伪造、倒卖、转让驯</w:t>
      </w:r>
      <w:r>
        <w:rPr>
          <w:rFonts w:ascii="仿宋_GB2312" w:eastAsia="仿宋_GB2312" w:hAnsi="仿宋_GB2312" w:cs="仿宋_GB2312" w:hint="eastAsia"/>
          <w:sz w:val="32"/>
          <w:szCs w:val="32"/>
        </w:rPr>
        <w:t>养繁殖许可证，依照《野生动物保护法》第三十七条的规定处以罚款的，罚款幅度为</w:t>
      </w:r>
      <w:r w:rsidR="001E30D7">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元以下。伪造、倒卖、转让特许捕捉证或者允许进出口证明书，依照《野生动物保护法》第三十七条的规定处以罚款的，罚款幅度为</w:t>
      </w:r>
      <w:r w:rsidR="001E30D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违反野生动物保护法规，未取得驯养繁殖许可证或者超越驯养繁殖许可证规定范围，驯养繁殖国家重点保护的水生野生动物的，由渔业行政主管部门没收违法所得，处</w:t>
      </w:r>
      <w:r w:rsidR="001E30D7">
        <w:rPr>
          <w:rFonts w:ascii="Times New Roman" w:eastAsia="仿宋_GB2312" w:hAnsi="Times New Roman" w:cs="Times New Roman" w:hint="eastAsia"/>
          <w:sz w:val="32"/>
          <w:szCs w:val="32"/>
        </w:rPr>
        <w:t>3000</w:t>
      </w:r>
      <w:r>
        <w:rPr>
          <w:rFonts w:ascii="Times New Roman" w:eastAsia="仿宋_GB2312" w:hAnsi="Times New Roman" w:cs="Times New Roman"/>
          <w:sz w:val="32"/>
          <w:szCs w:val="32"/>
        </w:rPr>
        <w:t>元以下的罚款，可以并处没收水生野生动物、吊销驯养繁殖许可证。</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w:t>
      </w:r>
      <w:r>
        <w:rPr>
          <w:rFonts w:ascii="方正黑体_GBK" w:eastAsia="方正黑体_GBK" w:hAnsi="方正黑体_GBK" w:cs="方正黑体_GBK" w:hint="eastAsia"/>
          <w:sz w:val="32"/>
          <w:szCs w:val="32"/>
        </w:rPr>
        <w:t xml:space="preserve">条　</w:t>
      </w:r>
      <w:r>
        <w:rPr>
          <w:rFonts w:ascii="Times New Roman" w:eastAsia="仿宋_GB2312" w:hAnsi="Times New Roman" w:cs="Times New Roman"/>
          <w:sz w:val="32"/>
          <w:szCs w:val="32"/>
        </w:rPr>
        <w:t>外国人未经批准在中国境内对国家重点保护的水生野生动物进行科学考察、标本采集、拍摄电影、录像的，由渔业行政主管部门没收考察、拍摄的资料以及所获标本，可以并处</w:t>
      </w:r>
      <w:r w:rsidR="001E30D7">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万元以下的罚款。</w:t>
      </w:r>
    </w:p>
    <w:p w:rsidR="009D7E7C" w:rsidRDefault="0061021E" w:rsidP="001E30D7">
      <w:pPr>
        <w:pStyle w:val="a9"/>
        <w:spacing w:before="226" w:beforeAutospacing="0" w:afterAutospacing="0" w:line="450" w:lineRule="atLeast"/>
        <w:ind w:firstLineChars="200" w:firstLine="640"/>
        <w:rPr>
          <w:rFonts w:ascii="仿宋_GB2312" w:eastAsia="仿宋_GB2312" w:hAnsi="仿宋_GB2312" w:cs="仿宋_GB2312" w:hint="default"/>
          <w:sz w:val="32"/>
          <w:szCs w:val="32"/>
        </w:rPr>
      </w:pPr>
      <w:r>
        <w:rPr>
          <w:rFonts w:ascii="方正黑体_GBK" w:eastAsia="方正黑体_GBK" w:hAnsi="方正黑体_GBK" w:cs="方正黑体_GBK"/>
          <w:sz w:val="32"/>
          <w:szCs w:val="32"/>
        </w:rPr>
        <w:t xml:space="preserve">第三十二条　</w:t>
      </w:r>
      <w:r>
        <w:rPr>
          <w:rFonts w:ascii="Times New Roman" w:eastAsia="仿宋_GB2312" w:hAnsi="Times New Roman"/>
          <w:sz w:val="32"/>
          <w:szCs w:val="32"/>
        </w:rPr>
        <w:t>有下列行为之</w:t>
      </w:r>
      <w:r>
        <w:rPr>
          <w:rFonts w:ascii="Times New Roman" w:eastAsia="仿宋_GB2312" w:hAnsi="Times New Roman"/>
          <w:sz w:val="32"/>
          <w:szCs w:val="32"/>
        </w:rPr>
        <w:t>一，尚不构成犯罪，应当给予治安管理处罚的，由公安机关依照《中华人民共和国治安管理处罚法》的规定予以处罚：</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拒绝、阻碍渔政检查人员依法执行职务的；</w:t>
      </w:r>
    </w:p>
    <w:p w:rsidR="009D7E7C" w:rsidRDefault="0061021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偷窃、哄抢或者故意损坏野生动</w:t>
      </w:r>
      <w:bookmarkStart w:id="0" w:name="_GoBack"/>
      <w:bookmarkEnd w:id="0"/>
      <w:r>
        <w:rPr>
          <w:rFonts w:ascii="仿宋_GB2312" w:eastAsia="仿宋_GB2312" w:hAnsi="仿宋_GB2312" w:cs="仿宋_GB2312" w:hint="eastAsia"/>
          <w:sz w:val="32"/>
          <w:szCs w:val="32"/>
        </w:rPr>
        <w:t>物保护仪器设备或者设施的。</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依照野生动物保护法规的规定没收的实物，按照国务院渔业行政主管部门的有关规定处理。</w:t>
      </w:r>
    </w:p>
    <w:p w:rsidR="009D7E7C" w:rsidRDefault="0061021E">
      <w:pPr>
        <w:pStyle w:val="2"/>
      </w:pPr>
      <w:r>
        <w:t>第</w:t>
      </w:r>
      <w:r>
        <w:t>五章　附　　则</w:t>
      </w:r>
    </w:p>
    <w:p w:rsidR="009D7E7C" w:rsidRDefault="0061021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本条例由国务院渔业行政主管部门负责解释。</w:t>
      </w:r>
    </w:p>
    <w:p w:rsidR="009D7E7C" w:rsidRDefault="0061021E">
      <w:pPr>
        <w:pStyle w:val="a4"/>
        <w:ind w:firstLineChars="200" w:firstLine="640"/>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本条例自发布之日起施行。</w:t>
      </w:r>
    </w:p>
    <w:sectPr w:rsidR="009D7E7C" w:rsidSect="009D7E7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21E" w:rsidRDefault="0061021E" w:rsidP="009D7E7C">
      <w:r>
        <w:separator/>
      </w:r>
    </w:p>
  </w:endnote>
  <w:endnote w:type="continuationSeparator" w:id="0">
    <w:p w:rsidR="0061021E" w:rsidRDefault="0061021E" w:rsidP="009D7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E7C" w:rsidRDefault="009D7E7C">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9D7E7C" w:rsidRDefault="009D7E7C">
                <w:pPr>
                  <w:pStyle w:val="a6"/>
                  <w:rPr>
                    <w:sz w:val="24"/>
                  </w:rPr>
                </w:pPr>
                <w:r>
                  <w:rPr>
                    <w:rFonts w:hint="eastAsia"/>
                    <w:sz w:val="24"/>
                  </w:rPr>
                  <w:fldChar w:fldCharType="begin"/>
                </w:r>
                <w:r w:rsidR="0061021E">
                  <w:rPr>
                    <w:rFonts w:hint="eastAsia"/>
                    <w:sz w:val="24"/>
                  </w:rPr>
                  <w:instrText xml:space="preserve"> PAGE  \* MERGEFORMAT </w:instrText>
                </w:r>
                <w:r>
                  <w:rPr>
                    <w:rFonts w:hint="eastAsia"/>
                    <w:sz w:val="24"/>
                  </w:rPr>
                  <w:fldChar w:fldCharType="separate"/>
                </w:r>
                <w:r w:rsidR="001E30D7">
                  <w:rPr>
                    <w:noProof/>
                    <w:sz w:val="24"/>
                  </w:rPr>
                  <w:t>- 11 -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21E" w:rsidRDefault="0061021E" w:rsidP="009D7E7C">
      <w:r>
        <w:separator/>
      </w:r>
    </w:p>
  </w:footnote>
  <w:footnote w:type="continuationSeparator" w:id="0">
    <w:p w:rsidR="0061021E" w:rsidRDefault="0061021E" w:rsidP="009D7E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30D7"/>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1021E"/>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9D7E7C"/>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F7192B"/>
    <w:rsid w:val="452D2D32"/>
    <w:rsid w:val="455A248C"/>
    <w:rsid w:val="45866A2B"/>
    <w:rsid w:val="45A46C77"/>
    <w:rsid w:val="45CD3C7A"/>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876326"/>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E7C"/>
    <w:pPr>
      <w:widowControl w:val="0"/>
      <w:jc w:val="both"/>
    </w:pPr>
    <w:rPr>
      <w:kern w:val="2"/>
      <w:sz w:val="21"/>
    </w:rPr>
  </w:style>
  <w:style w:type="paragraph" w:styleId="1">
    <w:name w:val="heading 1"/>
    <w:basedOn w:val="a"/>
    <w:next w:val="a"/>
    <w:link w:val="1Char"/>
    <w:uiPriority w:val="9"/>
    <w:qFormat/>
    <w:rsid w:val="009D7E7C"/>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9D7E7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9D7E7C"/>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9D7E7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9D7E7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9D7E7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9D7E7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9D7E7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9D7E7C"/>
    <w:pPr>
      <w:spacing w:before="100" w:beforeAutospacing="1" w:after="120"/>
      <w:ind w:leftChars="200" w:left="200"/>
    </w:pPr>
    <w:rPr>
      <w:szCs w:val="21"/>
    </w:rPr>
  </w:style>
  <w:style w:type="paragraph" w:styleId="a4">
    <w:name w:val="Plain Text"/>
    <w:basedOn w:val="a"/>
    <w:link w:val="Char0"/>
    <w:uiPriority w:val="99"/>
    <w:unhideWhenUsed/>
    <w:qFormat/>
    <w:rsid w:val="009D7E7C"/>
    <w:rPr>
      <w:rFonts w:ascii="宋体" w:hAnsi="Courier New" w:cs="Courier New"/>
      <w:szCs w:val="21"/>
    </w:rPr>
  </w:style>
  <w:style w:type="paragraph" w:styleId="a5">
    <w:name w:val="Balloon Text"/>
    <w:basedOn w:val="a"/>
    <w:link w:val="Char1"/>
    <w:uiPriority w:val="99"/>
    <w:semiHidden/>
    <w:unhideWhenUsed/>
    <w:qFormat/>
    <w:rsid w:val="009D7E7C"/>
    <w:rPr>
      <w:rFonts w:asciiTheme="minorHAnsi" w:eastAsiaTheme="minorEastAsia" w:hAnsiTheme="minorHAnsi" w:cstheme="minorBidi"/>
      <w:sz w:val="18"/>
      <w:szCs w:val="18"/>
    </w:rPr>
  </w:style>
  <w:style w:type="paragraph" w:styleId="a6">
    <w:name w:val="footer"/>
    <w:basedOn w:val="a"/>
    <w:link w:val="Char10"/>
    <w:uiPriority w:val="99"/>
    <w:unhideWhenUsed/>
    <w:qFormat/>
    <w:rsid w:val="009D7E7C"/>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9D7E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9D7E7C"/>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9D7E7C"/>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9D7E7C"/>
    <w:pPr>
      <w:spacing w:before="240" w:after="60"/>
      <w:jc w:val="center"/>
      <w:outlineLvl w:val="0"/>
    </w:pPr>
    <w:rPr>
      <w:rFonts w:ascii="Cambria" w:hAnsi="Cambria"/>
      <w:b/>
      <w:sz w:val="32"/>
      <w:szCs w:val="32"/>
    </w:rPr>
  </w:style>
  <w:style w:type="table" w:styleId="ab">
    <w:name w:val="Table Grid"/>
    <w:basedOn w:val="a1"/>
    <w:uiPriority w:val="59"/>
    <w:qFormat/>
    <w:rsid w:val="009D7E7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0"/>
    <w:uiPriority w:val="99"/>
    <w:semiHidden/>
    <w:unhideWhenUsed/>
    <w:rsid w:val="009D7E7C"/>
    <w:rPr>
      <w:color w:val="000000"/>
      <w:u w:val="none"/>
    </w:rPr>
  </w:style>
  <w:style w:type="character" w:styleId="HTML">
    <w:name w:val="HTML Definition"/>
    <w:basedOn w:val="a0"/>
    <w:uiPriority w:val="99"/>
    <w:semiHidden/>
    <w:unhideWhenUsed/>
    <w:rsid w:val="009D7E7C"/>
  </w:style>
  <w:style w:type="character" w:styleId="HTML0">
    <w:name w:val="HTML Variable"/>
    <w:basedOn w:val="a0"/>
    <w:uiPriority w:val="99"/>
    <w:semiHidden/>
    <w:unhideWhenUsed/>
    <w:rsid w:val="009D7E7C"/>
  </w:style>
  <w:style w:type="character" w:styleId="ad">
    <w:name w:val="Hyperlink"/>
    <w:basedOn w:val="a0"/>
    <w:uiPriority w:val="99"/>
    <w:semiHidden/>
    <w:unhideWhenUsed/>
    <w:rsid w:val="009D7E7C"/>
    <w:rPr>
      <w:color w:val="000000"/>
      <w:u w:val="none"/>
    </w:rPr>
  </w:style>
  <w:style w:type="character" w:styleId="HTML1">
    <w:name w:val="HTML Code"/>
    <w:basedOn w:val="a0"/>
    <w:uiPriority w:val="99"/>
    <w:semiHidden/>
    <w:unhideWhenUsed/>
    <w:rsid w:val="009D7E7C"/>
    <w:rPr>
      <w:rFonts w:ascii="Courier New" w:hAnsi="Courier New"/>
      <w:sz w:val="20"/>
    </w:rPr>
  </w:style>
  <w:style w:type="character" w:styleId="HTML2">
    <w:name w:val="HTML Cite"/>
    <w:basedOn w:val="a0"/>
    <w:uiPriority w:val="99"/>
    <w:semiHidden/>
    <w:unhideWhenUsed/>
    <w:rsid w:val="009D7E7C"/>
  </w:style>
  <w:style w:type="character" w:styleId="ae">
    <w:name w:val="footnote reference"/>
    <w:basedOn w:val="a0"/>
    <w:uiPriority w:val="99"/>
    <w:semiHidden/>
    <w:unhideWhenUsed/>
    <w:qFormat/>
    <w:rsid w:val="009D7E7C"/>
    <w:rPr>
      <w:vertAlign w:val="superscript"/>
    </w:rPr>
  </w:style>
  <w:style w:type="character" w:customStyle="1" w:styleId="Char0">
    <w:name w:val="纯文本 Char"/>
    <w:basedOn w:val="a0"/>
    <w:link w:val="a4"/>
    <w:uiPriority w:val="99"/>
    <w:qFormat/>
    <w:rsid w:val="009D7E7C"/>
    <w:rPr>
      <w:rFonts w:ascii="宋体" w:eastAsia="宋体" w:hAnsi="Courier New" w:cs="Courier New"/>
      <w:szCs w:val="21"/>
    </w:rPr>
  </w:style>
  <w:style w:type="character" w:customStyle="1" w:styleId="Char2">
    <w:name w:val="页眉 Char"/>
    <w:basedOn w:val="a0"/>
    <w:link w:val="a7"/>
    <w:uiPriority w:val="99"/>
    <w:qFormat/>
    <w:rsid w:val="009D7E7C"/>
    <w:rPr>
      <w:sz w:val="18"/>
      <w:szCs w:val="18"/>
    </w:rPr>
  </w:style>
  <w:style w:type="character" w:customStyle="1" w:styleId="Char4">
    <w:name w:val="页脚 Char"/>
    <w:basedOn w:val="a0"/>
    <w:link w:val="a6"/>
    <w:uiPriority w:val="99"/>
    <w:qFormat/>
    <w:rsid w:val="009D7E7C"/>
    <w:rPr>
      <w:sz w:val="18"/>
      <w:szCs w:val="18"/>
    </w:rPr>
  </w:style>
  <w:style w:type="character" w:customStyle="1" w:styleId="1Char">
    <w:name w:val="标题 1 Char"/>
    <w:basedOn w:val="a0"/>
    <w:link w:val="1"/>
    <w:uiPriority w:val="9"/>
    <w:qFormat/>
    <w:rsid w:val="009D7E7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9D7E7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9D7E7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9D7E7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9D7E7C"/>
    <w:rPr>
      <w:b/>
      <w:bCs/>
      <w:sz w:val="28"/>
      <w:szCs w:val="28"/>
    </w:rPr>
  </w:style>
  <w:style w:type="character" w:customStyle="1" w:styleId="6Char">
    <w:name w:val="标题 6 Char"/>
    <w:basedOn w:val="a0"/>
    <w:link w:val="6"/>
    <w:uiPriority w:val="9"/>
    <w:semiHidden/>
    <w:qFormat/>
    <w:rsid w:val="009D7E7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9D7E7C"/>
    <w:rPr>
      <w:b/>
      <w:bCs/>
      <w:sz w:val="24"/>
      <w:szCs w:val="24"/>
    </w:rPr>
  </w:style>
  <w:style w:type="character" w:customStyle="1" w:styleId="8Char">
    <w:name w:val="标题 8 Char"/>
    <w:basedOn w:val="a0"/>
    <w:link w:val="8"/>
    <w:uiPriority w:val="9"/>
    <w:semiHidden/>
    <w:qFormat/>
    <w:rsid w:val="009D7E7C"/>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9D7E7C"/>
    <w:rPr>
      <w:kern w:val="2"/>
      <w:sz w:val="18"/>
      <w:szCs w:val="18"/>
    </w:rPr>
  </w:style>
  <w:style w:type="character" w:customStyle="1" w:styleId="15">
    <w:name w:val="15"/>
    <w:basedOn w:val="a0"/>
    <w:qFormat/>
    <w:rsid w:val="009D7E7C"/>
    <w:rPr>
      <w:rFonts w:ascii="Times New Roman" w:hAnsi="Times New Roman" w:cs="Times New Roman" w:hint="default"/>
      <w:b/>
      <w:bCs/>
    </w:rPr>
  </w:style>
  <w:style w:type="character" w:customStyle="1" w:styleId="Char">
    <w:name w:val="正文文本缩进 Char"/>
    <w:basedOn w:val="a0"/>
    <w:link w:val="a3"/>
    <w:uiPriority w:val="99"/>
    <w:qFormat/>
    <w:rsid w:val="009D7E7C"/>
    <w:rPr>
      <w:rFonts w:ascii="Times New Roman" w:eastAsia="宋体" w:hAnsi="Times New Roman" w:cs="Times New Roman"/>
      <w:kern w:val="2"/>
      <w:sz w:val="21"/>
      <w:szCs w:val="21"/>
    </w:rPr>
  </w:style>
  <w:style w:type="character" w:customStyle="1" w:styleId="Char3">
    <w:name w:val="标题 Char"/>
    <w:basedOn w:val="a0"/>
    <w:link w:val="aa"/>
    <w:qFormat/>
    <w:rsid w:val="009D7E7C"/>
    <w:rPr>
      <w:rFonts w:ascii="Cambria" w:eastAsia="宋体" w:hAnsi="Cambria" w:cs="Cambria" w:hint="default"/>
      <w:b/>
      <w:kern w:val="2"/>
      <w:sz w:val="32"/>
      <w:szCs w:val="32"/>
    </w:rPr>
  </w:style>
  <w:style w:type="character" w:customStyle="1" w:styleId="Char10">
    <w:name w:val="页脚 Char1"/>
    <w:basedOn w:val="a0"/>
    <w:link w:val="a6"/>
    <w:qFormat/>
    <w:rsid w:val="009D7E7C"/>
    <w:rPr>
      <w:rFonts w:ascii="Times New Roman" w:eastAsia="宋体" w:hAnsi="Times New Roman" w:cs="Times New Roman" w:hint="default"/>
      <w:kern w:val="2"/>
      <w:sz w:val="18"/>
      <w:szCs w:val="18"/>
    </w:rPr>
  </w:style>
  <w:style w:type="character" w:customStyle="1" w:styleId="font">
    <w:name w:val="font"/>
    <w:basedOn w:val="a0"/>
    <w:rsid w:val="009D7E7C"/>
  </w:style>
  <w:style w:type="character" w:customStyle="1" w:styleId="place">
    <w:name w:val="place"/>
    <w:basedOn w:val="a0"/>
    <w:rsid w:val="009D7E7C"/>
    <w:rPr>
      <w:rFonts w:ascii="微软雅黑" w:eastAsia="微软雅黑" w:hAnsi="微软雅黑" w:cs="微软雅黑"/>
      <w:color w:val="888888"/>
      <w:sz w:val="25"/>
      <w:szCs w:val="25"/>
      <w:bdr w:val="none" w:sz="0" w:space="0" w:color="auto"/>
    </w:rPr>
  </w:style>
  <w:style w:type="character" w:customStyle="1" w:styleId="place1">
    <w:name w:val="place1"/>
    <w:basedOn w:val="a0"/>
    <w:rsid w:val="009D7E7C"/>
    <w:rPr>
      <w:bdr w:val="none" w:sz="0" w:space="0" w:color="auto"/>
    </w:rPr>
  </w:style>
  <w:style w:type="character" w:customStyle="1" w:styleId="place2">
    <w:name w:val="place2"/>
    <w:basedOn w:val="a0"/>
    <w:rsid w:val="009D7E7C"/>
    <w:rPr>
      <w:bdr w:val="none" w:sz="0" w:space="0" w:color="auto"/>
    </w:rPr>
  </w:style>
  <w:style w:type="character" w:customStyle="1" w:styleId="place3">
    <w:name w:val="place3"/>
    <w:basedOn w:val="a0"/>
    <w:rsid w:val="009D7E7C"/>
    <w:rPr>
      <w:bdr w:val="none" w:sz="0" w:space="0" w:color="auto"/>
    </w:rPr>
  </w:style>
  <w:style w:type="character" w:customStyle="1" w:styleId="hover17">
    <w:name w:val="hover17"/>
    <w:basedOn w:val="a0"/>
    <w:rsid w:val="009D7E7C"/>
    <w:rPr>
      <w:color w:val="025291"/>
    </w:rPr>
  </w:style>
  <w:style w:type="character" w:customStyle="1" w:styleId="noline">
    <w:name w:val="noline"/>
    <w:basedOn w:val="a0"/>
    <w:rsid w:val="009D7E7C"/>
  </w:style>
  <w:style w:type="character" w:customStyle="1" w:styleId="gwdsnopic">
    <w:name w:val="gwds_nopic"/>
    <w:basedOn w:val="a0"/>
    <w:rsid w:val="009D7E7C"/>
  </w:style>
  <w:style w:type="character" w:customStyle="1" w:styleId="gwdsnopic1">
    <w:name w:val="gwds_nopic1"/>
    <w:basedOn w:val="a0"/>
    <w:rsid w:val="009D7E7C"/>
  </w:style>
  <w:style w:type="character" w:customStyle="1" w:styleId="gwdsnopic2">
    <w:name w:val="gwds_nopic2"/>
    <w:basedOn w:val="a0"/>
    <w:rsid w:val="009D7E7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97508F-C8F8-4093-82B2-60A25D111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