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中华人民共和国海关行政处罚实施条例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(2004年9月1日国务院第62次常务会议通过　2004年9月19日中华人民共和国国务院令第420号公布　自2004年11月1日起施行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为了规范海关行政处罚，保障海关依法行使职权，保护公民、法人或者其他组织的合法权益，根据《中华人民共和国海关法》(以下简称海关法)及其他有关法律的规定，制定本实施条例。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依法不追究刑事责任的走私行为和违反海关监管规定的行为，以及法律、行政法规规定由海关实施行政处罚的行为的处理，适用本实施条例。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海关行政处罚由发现违法行为的海关管辖，也可以由违法行为发生地海关管辖。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2个以上海关都有管辖权的案件，由最先发现违法行为的海关管辖。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管辖不明确的案件，由有关海关协商确定管辖，协商不成的，报请共同的上级海关指定管辖。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重大、复杂的案件，可以由海关总署指定管辖。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海关发现的依法应当由其他行政机关处理的违法行为，应当移送有关行政机关处理；违法行为涉嫌犯罪的，应当移送海关侦查走私犯罪公安机构、地方公安机关依法办理。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依照本实施条例处以警告、罚款等行政处罚，但不没收进出境货物、物品、运输工具的，不免除有关当事人依法缴纳税款、提交进出口许可证件、办理有关海关手续的义务。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抗拒、阻碍海关侦查走私犯罪公安机构依法执行职务的，由设在直属海关、隶属海关的海关侦查走私犯罪公安机构依照治安管理处罚的有关规定给予处罚。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抗拒、阻碍其他海关工作人员依法执行职务的，应当报告地方公安机关依法处理。</w:t>
      </w:r>
    </w:p>
    <w:p>
      <w:pPr>
        <w:pStyle w:val="3"/>
        <w:bidi w:val="0"/>
        <w:rPr>
          <w:szCs w:val="32"/>
        </w:rPr>
      </w:pPr>
      <w:r>
        <w:t>第二章　走私行为及其处罚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违反海关法及其他有关法律、行政法规，逃避海关监管，偷逃应纳税款、逃避国家有关进出境的禁止性或者限制性管理，有下列情形之一的，是走私行为：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(一)未经国务院或者国务院授权的机关批准，从未设立海关的地点运输、携带国家禁止或者限制进出境的货物、物品或者依法应当缴纳税款的货物、物品进出境的；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(二)经过设立海关的地点，以藏匿、伪装、瞒报、伪报或者其他方式逃避海关监管，运输、携带、邮寄国家禁止或者限制进出境的货物、物品或者依法应当缴纳税款的货物、物品进出境的；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(三)使用伪造、变造的手册、单证、印章、账册、电子数据或者以其他方式逃避海关监管，擅自将海关监管货物、物品、进境的境外运输工具，在境内销售的；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(四)使用伪造、变造的手册、单证、印章、账册、电子数据或者以伪报加工贸易制成品单位耗料量等方式，致使海关监管货物、物品脱离监管的；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(五)以藏匿、伪装、瞒报、伪报或者其他方式逃避海关监管，擅自将保税区、出口加工区等海关特殊监管区域内的海关监管货物、物品，运出区外的；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(六)有逃避海关监管，构成走私的其他行为的。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有下列行为之一的，按走私行为论处：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(一)明知是走私进口的货物、物品，直接向走私人非法收购的；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(二)在内海、领海、界河、界湖，船舶及所载人员运输、收购、贩卖国家禁止或者限制进出境的货物、物品，或者运输、收购、贩卖依法应当缴纳税款的货物，没有合法证明的。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有本实施条例第七条、第八条所列行为之一的，依照下列规定处罚：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(一)走私国家禁止进出口的货物的，没收走私货物及违法所得，可以并处100万元以下罚款；走私国家禁止进出境的物品的，没收走私物品及违法所得，可以并处10万元以下罚款；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(二)应当提交许可证件而未提交但未偷逃税款，走私国家限制进出境的货物、物品的，没收走私货物、物品及违法所得，可以并处走私货物、物品等值以下罚款；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(三)偷逃应纳税款但未逃避许可证件管理，走私依法应当缴纳税款的货物、物品的，没收走私货物、物品及违法所得，可以并处偷逃应纳税款3倍以下罚款。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用于走私的运输工具或者用于掩护走私的货物、物品，2年内3次以上用于走私的运输工具或者用于掩护走私的货物、物品，应当予以没收。藏匿走私货物、物品的特制设备、夹层、暗格，应当予以没收或者责令拆毁。使用特制设备、夹层、暗格实施走私的，应当从重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与走私人通谋为走私人提供贷款、资金、账号、发票、证明、海关单证的，与走私人通谋为走私人提供走私货物、物品的提取、发运、运输、保管、邮寄或者其他方便的，以走私的共同当事人论处，没收违法所得，并依照本实施条例第九条的规定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报关企业、报关人员和海关准予从事海关监管货物的运输、储存、加工、装配、寄售、展示等业务的企业，构成走私犯罪或者1年内有2次以上走私行为的，海关可以撤销其注册登记、取消其报关从业资格。</w:t>
      </w:r>
    </w:p>
    <w:p>
      <w:pPr>
        <w:pStyle w:val="3"/>
        <w:bidi w:val="0"/>
        <w:rPr>
          <w:szCs w:val="32"/>
        </w:rPr>
      </w:pPr>
      <w:r>
        <w:t>第三章　违反海关监管规定的行为及其处罚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违反海关法及其他有关法律、行政法规和规章但不构成走私行为的，是违反海关监管规定的行为。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违反国家进出口管理规定，进出口国家禁止进出口的货物的，责令退运，处100万元以下罚款。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违反国家进出口管理规定，进出口国家限制进出口的货物，进出口货物的收发货人向海关申报时不能提交许可证件的，进出口货物不予放行，处货物价值30%以下罚款。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违反国家进出口管理规定，进出口属于自动进出口许可管理的货物，进出口货物的收发货人向海关申报时不能提交自动许可证明的，进出口货物不予放行。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进出口货物的品名、税则号列、数量、规格、价格、贸易方式、原产地、启运地、运抵地、最终目的地或者其他应当申报的项目未申报或者申报不实的，分别依照下列规定予以处罚，有违法所得的，没收违法所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(一)影响海关统计准确性的，予以警告或者处1000元以上1万元以下罚款；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(二)影响海关监管秩序的，予以警告或者处1000元以上3万元以下罚款；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(三)影响国家许可证件管理的，处货物价值5%以上30%以下罚款；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(四)影响国家税款征收的，处漏缴税款30%以上2倍以下罚款；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(五)影响国家外汇、出口退税管理的，处申报价格10%以上50%以下罚款。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进出口货物收发货人未按照规定向报关企业提供所委托报关事项的真实情况，致使发生本实施条例第十五条规定情形的，对委托人依照本实施条例第十五条的规定予以处罚。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报关企业、报关人员对委托人所提供情况的真实性未进行合理审查，或者因工作疏忽致使发生本实施条例第十五条规定情形的，可以对报关企业处货物价值10%以下罚款，暂停其6个月以内从事报关业务或者执业；情节严重的，撤销其报关注册登记、取消其报关从业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有下列行为之一的，处货物价值5%以上30%以下罚款，有违法所得的，没收违法所得：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(一)未经海关许可，擅自将海关监管货物开拆、提取、交付、发运、调换、改装、抵押、质押、留置、转让、更换标记、移作他用或者进行其他处置的；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(二)未经海关许可，在海关监管区以外存放海关监管货物的；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(三)经营海关监管货物的运输、储存、加工、装配、寄售、展示等业务，有关货物灭失、数量短少或者记录不真实，不能提供正当理由的；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(四)经营保税货物的运输、储存、加工、装配、寄售、展示等业务，不依照规定办理收存、交付、结转、核销等手续，或者中止、延长、变更、转让有关合同不依照规定向海关办理手续的；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(五)未如实向海关申报加工贸易制成品单位耗料量的；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(六)未按照规定期限将过境、转运、通运货物运输出境，擅自留在境内的；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(七)未按照规定期限将暂时进出口货物复运出境或者复运进境，擅自留在境内或者境外的；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(八)有违反海关监管规定的其他行为，致使海关不能或者中断对进出口货物实施监管的。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前款规定所涉货物属于国家限制进出口需要提交许可证件，当事人在规定期限内不能提交许可证件的，另处货物价值30%以下罚款；漏缴税款的，可以另处漏缴税款1倍以下罚款。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有下列行为之一的，予以警告，可以处物品价值20%以下罚款，有违法所得的，没收违法所得：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(一)未经海关许可，擅自将海关尚未放行的进出境物品开拆、交付、投递、转移或者进行其他处置的；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(二)个人运输、携带、邮寄超过合理数量的自用物品进出境未向海关申报的；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(三)个人运输、携带、邮寄超过规定数量但仍属自用的国家限制进出境物品进出境，未向海关申报但没有以藏匿、伪装等方式逃避海关监管的；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(四)个人运输、携带、邮寄物品进出境，申报不实的；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(五)经海关登记准予暂时免税进境或者暂时免税出境的物品，未按照规定复带出境或者复带进境的；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(六)未经海关批准，过境人员将其所带物品留在境内的。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运输、携带、邮寄国家禁止进出境的物品进出境，未向海关申报但没有以藏匿、伪装等方式逃避海关监管的，予以没收，或者责令退回，或者在海关监管下予以销毁或者进行技术处理。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有下列行为之一的，予以警告，可以处10万元以下罚款，有违法所得的，没收违法所得：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(一)运输工具不经设立海关的地点进出境的；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(二)在海关监管区停留的进出境运输工具，未经海关同意擅自驶离的；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(三)进出境运输工具从一个设立海关的地点驶往另一个设立海关的地点，尚未办结海关手续又未经海关批准，中途改驶境外或者境内未设立海关的地点的；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(四)进出境运输工具到达或者驶离设立海关的地点，未按照规定向海关申报、交验有关单证或者交验的单证不真实的。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有下列行为之一的，予以警告，可以处5万元以下罚款，有违法所得的，没收违法所得：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(一)未经海关同意，进出境运输工具擅自装卸进出境货物、物品或者上下进出境旅客的；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(二)未经海关同意，进出境运输工具擅自兼营境内客货运输或者用于进出境运输以外的其他用途的；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(三)未按照规定办理海关手续，进出境运输工具擅自改营境内运输的；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(四)未按照规定期限向海关传输舱单等电子数据、传输的电子数据不准确或者未按照规定期限保存相关电子数据，影响海关监管的；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(五)进境运输工具在进境以后向海关申报以前，出境运输工具在办结海关手续以后出境以前，不按照交通主管部门或者海关指定的路线行进的；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(六)载运海关监管货物的船舶、汽车不按照海关指定的路线行进的；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(七)进出境船舶和航空器，由于不可抗力被迫在未设立海关的地点停泊、降落或者在境内抛掷、起卸货物、物品，无正当理由不向附近海关报告的；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(八)无特殊原因，未将进出境船舶、火车、航空器到达的时间、停留的地点或者更换的时间、地点事先通知海关的；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(九)不按照规定接受海关对进出境运输工具、货物、物品进行检查、查验的。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有下列行为之一的，予以警告，可以处3万元以下罚款：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(一)擅自开启或者损毁海关封志的；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(二)遗失海关制发的监管单证、手册等凭证，妨碍海关监管的；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(三)有违反海关监管规定的其他行为，致使海关不能或者中断对进出境运输工具、物品实施监管的。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伪造、变造、买卖海关单证的，处5万元以上50万元以下罚款，有违法所得的，没收违法所得；构成犯罪的，依法追究刑事责任。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进出口侵犯中华人民共和国法律、行政法规保护的知识产权的货物的，没收侵权货物，并处货物价值30%以下罚款；构成犯罪的，依法追究刑事责任。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需要向海关申报知识产权状况，进出口货物收发货人及其代理人未按照规定向海关如实申报有关知识产权状况，或者未提交合法使用有关知识产权的证明文件的，可以处5万元以下罚款。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报关企业、报关人员和海关准予从事海关监管货物的运输、储存、加工、装配、寄售、展示等业务的企业，有下列情形之一的，责令改正，给予警告，可以暂停其6个月以内从事有关业务或者执业：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(一)拖欠税款或者不履行纳税义务的；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(二)报关企业出让其名义供他人办理进出口货物报关纳税事宜的；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(三)损坏或者丢失海关监管货物，不能提供正当理由的；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(四)有需要暂停其从事有关业务或者执业的其他违法行为的。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报关企业、报关人员和海关准予从事海关监管货物的运输、储存、加工、装配、寄售、展示等业务的企业，有下列情形之一的，海关可以撤销其注册登记、取消其报关从业资格：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(一)1年内3人次以上被海关暂停执业的；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(二)被海关暂停从事有关业务或者执业，恢复从事有关业务或者执业后1年内再次发生本实施条例第二十六条规定情形的；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(三)有需要撤销其注册登记或者取消其报关从业资格的其他违法行为的。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报关企业、报关人员非法代理他人报关或者超出海关准予的从业范围进行报关活动的，责令改正，处5万元以下罚款，暂停其6个月以内从事报关业务或者执业；情节严重的，撤销其报关注册登记、取消其报关从业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进出口货物收发货人、报关企业、报关人员向海关工作人员行贿的，撤销其报关注册登记、取消其报关从业资格，并处10万元以下罚款；构成犯罪的，依法追究刑事责任，并不得重新注册登记为报关企业和取得报关从业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未经海关注册登记和未取得报关从业资格从事报关业务的，予以取缔，没收违法所得，可以并处10万元以下罚款。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提供虚假资料骗取海关注册登记、报关从业资格的，撤销其注册登记、取消其报关从业资格，并处30万元以下罚款。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法人或者其他组织有违反海关法的行为，除处罚该法人或者组织外，对其主管人员和直接责任人员予以警告，可以处5万元以下罚款，有违法所得的，没收违法所得。</w:t>
      </w:r>
    </w:p>
    <w:p>
      <w:pPr>
        <w:pStyle w:val="3"/>
        <w:bidi w:val="0"/>
        <w:rPr>
          <w:szCs w:val="32"/>
        </w:rPr>
      </w:pPr>
      <w:r>
        <w:t>第四章　对违反海关法行为的调查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海关发现公民、法人或者其他组织有依法应当由海关给予行政处罚的行为的，应当立案调查。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海关立案后，应当全面、客观、公正、及时地进行调查、收集证据。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海关调查、收集证据，应当按照法律、行政法规及其他有关规定的要求办理。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海关调查、收集证据时，海关工作人员不得少于2人，并应当向被调查人出示证件。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调查、收集的证据涉及国家秘密、商业秘密或者个人隐私的，海关应当保守秘密。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海关依法检查走私嫌疑人的身体，应当在隐蔽的场所或者非检查人员的视线之外，由2名以上与被检查人同性别的海关工作人员执行。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走私嫌疑人应当接受检查，不得阻挠。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海关依法检查运输工具和场所，查验货物、物品，应当制作检查、查验记录。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海关依法扣留走私犯罪嫌疑人，应当制发扣留走私犯罪嫌疑人决定书。对走私犯罪嫌疑人，扣留时间不超过24小时，在特殊情况下可以延长至48小时。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海关应当在法定扣留期限内对被扣留人进行审查。排除犯罪嫌疑或者法定扣留期限届满的，应当立即解除扣留，并制发解除扣留决定书。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下列货物、物品、运输工具及有关账册、单据等资料，海关可以依法扣留：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(一)有走私嫌疑的货物、物品、运输工具；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(二)违反海关法或者其他有关法律、行政法规的货物、物品、运输工具；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(三)与违反海关法或者其他有关法律、行政法规的货物、物品、运输工具有牵连的账册、单据等资料；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(四)法律、行政法规规定可以扣留的其他货物、物品、运输工具及有关账册、单据等资料。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有违法嫌疑的货物、物品、运输工具无法或者不便扣留的，当事人或者运输工具负责人应当向海关提供等值的担保，未提供等值担保的，海关可以扣留当事人等值的其他财产。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海关扣留货物、物品、运输工具以及账册、单据等资料的期限不得超过1年。因案件调查需要，经直属海关关长或者其授权的隶属海关关长批准，可以延长，延长期限不得超过1年。但复议、诉讼期间不计算在内。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有下列情形之一的，海关应当及时解除扣留：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(一)排除违法嫌疑的；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(二)扣留期限、延长期限届满的；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(三)已经履行海关行政处罚决定的；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(四)法律、行政法规规定应当解除扣留的其他情形。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海关依法扣留货物、物品、运输工具、其他财产以及账册、单据等资料，应当制发海关扣留凭单，由海关工作人员、当事人或者其代理人、保管人、见证人签字或者盖章，并可以加施海关封志。加施海关封志的，当事人或者其代理人、保管人应当妥善保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解除对货物、物品、运输工具、其他财产以及账册、单据等资料的扣留，或者发还等值的担保，应当制发海关解除扣留通知书、海关解除担保通知书，并由海关工作人员、当事人或者其代理人、保管人、见证人签字或者盖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海关查问违法嫌疑人或者询问证人，应当个别进行，并告知其权利和作伪证应当承担的法律责任。违法嫌疑人、证人必须如实陈述、提供证据。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海关查问违法嫌疑人或者询问证人应当制作笔录，并当场交其辨认，没有异议的，立即签字确认；有异议的，予以更正后签字确认。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严禁刑讯逼供或者以威胁、引诱、欺骗等非法手段收集证据。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海关查问违法嫌疑人，可以到违法嫌疑人的所在单位或者住处进行，也可以要求其到海关或者海关指定的地点进行。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海关收集的物证、书证应当是原物、原件。收集原物、原件确有困难的，可以拍摄、复制，并可以指定或者委托有关单位或者个人对原物、原件予以妥善保管。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海关收集物证、书证，应当开列清单，注明收集的日期，由有关单位或者个人确认后签字或者盖章。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海关收集电子数据或者录音、录像等视听资料，应当收集原始载体。收集原始载体确有困难的，可以收集复制件，注明制作方法、制作时间、制作人等，并由有关单位或者个人确认后签字或者盖章。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根据案件调查需要，海关可以对有关货物、物品进行取样化验、鉴定。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提取样品时，当事人或者其代理人应当到场；当事人或者其代理人未到场的，海关应当邀请见证人到场。提取的样品，海关应当予以加封，并由海关工作人员及当事人或者其代理人、见证人确认后签字或者盖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化验、鉴定应当交由海关化验鉴定机构或者委托国家认可的其他机构进行。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化验人、鉴定人进行化验、鉴定后，应当出具化验报告、鉴定结论，并签字或者盖章。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根据海关法有关规定，海关可以查询案件涉嫌单位和涉嫌人员在金融机构、邮政企业的存款、汇款。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海关查询案件涉嫌单位和涉嫌人员在金融机构、邮政企业的存款、汇款，应当出示海关协助查询通知书。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海关依法扣留的货物、物品、运输工具，在人民法院判决或者海关行政处罚决定作出之前，不得处理。但是，危险品或者鲜活、易腐、易烂、易失效、易变质等不宜长期保存的货物、物品以及所有人申请先行变卖的货物、物品、运输工具，经直属海关关长或者其授权的隶属海关关长批准，可以先行依法变卖，变卖所得价款由海关保存，并通知其所有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当事人有权根据海关法的规定要求海关工作人员回避。</w:t>
      </w:r>
    </w:p>
    <w:p>
      <w:pPr>
        <w:pStyle w:val="3"/>
        <w:bidi w:val="0"/>
        <w:rPr>
          <w:szCs w:val="32"/>
        </w:rPr>
      </w:pPr>
      <w:r>
        <w:t>第五章　海关行政处罚的决定和执行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海关作出暂停从事有关业务、暂停报关执业、撤销海关注册登记、取消报关从业资格、对公民处1万元以上罚款、对法人或者其他组织处10万元以上罚款、没收有关货物、物品、走私运输工具等行政处罚决定之前，应当告知当事人有要求举行听证的权利；当事人要求听证的，海关应当组织听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海关行政处罚听证办法由海关总署制定。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案件调查终结，海关关长应当对调查结果进行审查，根据不同情况，依法作出决定。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对情节复杂或者重大违法行为给予较重的行政处罚，应当由海关案件审理委员会集体讨论决定。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同一当事人实施了走私和违反海关监管规定的行为且二者之间有因果关系的，依照本实施条例对走私行为的规定从重处罚，对其违反海关监管规定的行为不再另行处罚。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同一当事人就同一批货物、物品分别实施了2个以上违反海关监管规定的行为且二者之间有因果关系的，依照本实施条例分别规定的处罚幅度，择其重者处罚。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对2个以上当事人共同实施的违法行为，应当区别情节及责任，分别给予处罚。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有下列情形之一的，应当从重处罚：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(一)因走私被判处刑罚或者被海关行政处罚后在2年内又实施走私行为的；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(二)因违反海关监管规定被海关行政处罚后在1年内又实施同一违反海关监管规定的行为的；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(三)有其他依法应当从重处罚的情形的。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海关对当事人违反海关法的行为依法给予行政处罚的，应当制作行政处罚决定书。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对同一当事人实施的2个以上违反海关法的行为，可以制发1份行政处罚决定书。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对2个以上当事人分别实施的违反海关法的行为，应当分别制发行政处罚决定书。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对2个以上当事人共同实施的违反海关法的行为，应当制发1份行政处罚决定书，区别情况对各当事人分别予以处罚，但需另案处理的除外。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行政处罚决定书应当依照有关法律规定送达当事人。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依法予以公告送达的，海关应当将行政处罚决定书的正本张贴在海关公告栏内，并在报纸上刊登公告。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海关作出没收货物、物品、走私运输工具的行政处罚决定，有关货物、物品、走私运输工具无法或者不便没收的，海关应当追缴上述货物、物品、走私运输工具的等值价款。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法人或者其他组织实施违反海关法的行为后，有合并、分立或者其他资产重组情形的，海关应当以原法人、组织作为当事人。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对原法人、组织处以罚款、没收违法所得或者依法追缴货物、物品、走私运输工具的等值价款的，应当以承受其权利义务的法人、组织作为被执行人。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罚款、违法所得和依法追缴的货物、物品、走私运输工具的等值价款，应当在海关行政处罚决定规定的期限内缴清。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当事人按期履行行政处罚决定、办结海关手续的，海关应当及时解除其担保。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受海关处罚的当事人或者其法定代表人、主要负责人应当在出境前缴清罚款、违法所得和依法追缴的货物、物品、走私运输工具的等值价款。在出境前未缴清上述款项的，应当向海关提供相当于上述款项的担保。未提供担保，当事人是自然人的，海关可以通知出境管理机关阻止其出境；当事人是法人或者其他组织的，海关可以通知出境管理机关阻止其法定代表人或者主要负责人出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当事人逾期不履行行政处罚决定的，海关可以采取下列措施：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(一)到期不缴纳罚款的，每日按罚款数额的3%加处罚款；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(二)根据海关法规定，将扣留的货物、物品、运输工具变价抵缴，或者以当事人提供的担保抵缴；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(三)申请人民法院强制执行。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当事人确有经济困难，申请延期或者分期缴纳罚款的，经海关批准，可以暂缓或者分期缴纳罚款。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当事人申请延期或者分期缴纳罚款的，应当以书面形式提出，海关收到申请后，应当在10个工作日内作出决定，并通知申请人。海关同意当事人暂缓或者分期缴纳的，应当及时通知收缴罚款的机构。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有下列情形之一的，有关货物、物品、违法所得、运输工具、特制设备由海关予以收缴：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(一)依照《中华人民共和国行政处罚法》第二十五条、第二十六条规定不予行政处罚的当事人携带、邮寄国家禁止进出境的货物、物品进出境的；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(二)散发性邮寄国家禁止、限制进出境的物品进出境或者携带数量零星的国家禁止进出境的物品进出境，依法可以不予行政处罚的；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(三)依法应当没收的货物、物品、违法所得、走私运输工具、特制设备，在海关作出行政处罚决定前，作为当事人的自然人死亡或者作为当事人的法人、其他组织终止，且无权利义务承受人的；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(四)走私违法事实基本清楚，但当事人无法查清，自海关公告之日起满3个月的；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(五)有违反法律、行政法规，应当予以收缴的其他情形的。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海关收缴前款规定的货物、物品、违法所得、运输工具、特制设备，应当制发清单，由被收缴人或者其代理人、见证人签字或者盖章。被收缴人无法查清且无见证人的，应当予以公告。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人民法院判决没收的走私货物、物品、违法所得、走私运输工具、特制设备，或者海关决定没收、收缴的货物、物品、违法所得、走私运输工具、特制设备，由海关依法统一处理，所得价款和海关收缴的罚款，全部上缴中央国库。</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本实施条例下列用语的含义是：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海关的地点”，指海关在港口、车站、机场、国界孔道、国际邮件互换局(交换站)等海关监管区设立的卡口，海关在保税区、出口加工区等海关特殊监管区域设立的卡口，以及海关在海上设立的中途监管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“许可证件”，指依照国家有关规定，当事人应当事先申领，并由国家有关主管部门颁发的准予进口或者出口的证明、文件。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“合法证明”，指船舶及所载人员依照国家有关规定或者依照国际运输惯例所必须持有的证明其运输、携带、收购、贩卖所载货物、物品真实、合法、有效的商业单证、运输单证及其他有关证明、文件。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“物品”，指个人以运输、携带等方式进出境的行李物品、邮寄进出境的物品，包括货币、金银等。超出自用、合理数量的，视为货物。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“自用”，指旅客或者收件人本人自用、馈赠亲友而非为出售或者出租。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“合理数量”，指海关根据旅客或者收件人的情况、旅行目的和居留时间所确定的正常数量。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“货物价值”，指进出口货物的完税价格、关税、进口环节海关代征税之和。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“物品价值”，指进出境物品的完税价格、进口税之和。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“应纳税款”，指进出口货物、物品应当缴纳的进出口关税、进口环节海关代征税之和。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“专门用于走私的运输工具”，指专为走私而制造、改造、购买的运输工具。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“以上”、“以下”、“以内”、“届满”，均包括本数在内。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海关对外国人、无国籍人、外国企业或者其他组织给予行政处罚的，适用本实施条例。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国家禁止或者限制进出口的货物目录，由国务院对外贸易主管部门依照《中华人民共和国对外贸易法》的规定办理；国家禁止或者限制进出境的物品目录，由海关总署公布。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依照海关规章给予行政处罚的，应当遵守本实施条例规定的程序。</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本实施条例自2004年11月1日起施行。1993年2月17日国务院批准修订、1993年4月1日海关总署发布的《中华人民共和国</w:t>
      </w:r>
      <w:bookmarkStart w:id="0" w:name="_GoBack"/>
      <w:bookmarkEnd w:id="0"/>
      <w:r>
        <w:rPr>
          <w:rFonts w:hint="eastAsia" w:ascii="仿宋_GB2312" w:hAnsi="仿宋_GB2312" w:eastAsia="仿宋_GB2312" w:cs="仿宋_GB2312"/>
          <w:sz w:val="32"/>
          <w:szCs w:val="32"/>
        </w:rPr>
        <w:t>海关法行政处罚实施细则》同时废止。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68</Words>
  <Characters>83</Characters>
  <Lines>69</Lines>
  <Paragraphs>19</Paragraphs>
  <TotalTime>1</TotalTime>
  <ScaleCrop>false</ScaleCrop>
  <LinksUpToDate>false</LinksUpToDate>
  <CharactersWithSpaces>85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2022-06-03T08:09:50Z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