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病原微生物实验室生物安全管理条例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bookmarkStart w:id="0" w:name="_GoBack"/>
      <w:r>
        <w:rPr>
          <w:rFonts w:ascii="Times New Roman" w:hAnsi="Times New Roman" w:eastAsia="楷体_GB2312" w:cs="Times New Roman"/>
          <w:spacing w:val="-11"/>
          <w:sz w:val="32"/>
          <w:szCs w:val="32"/>
        </w:rPr>
        <w:t>2004年11月12日中华人民共和国国务院令第424号公布　</w:t>
      </w:r>
      <w:bookmarkEnd w:id="0"/>
      <w:r>
        <w:rPr>
          <w:rFonts w:ascii="Times New Roman" w:hAnsi="Times New Roman" w:eastAsia="楷体_GB2312" w:cs="Times New Roman"/>
          <w:sz w:val="32"/>
          <w:szCs w:val="32"/>
        </w:rPr>
        <w:t>根据2016年2月6日《国务院关于修改部分行政法规的决定》第一次修订　根据2018年3月19日《国务院关于修改和废止部分行政法规的决定》第二次修订)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为了加强病原微生物实验室(以下称实验室)生物安全管理，保护实验室工作人员和公众的健康，制定本条例。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对中华人民共和国境内的实验室及其从事实验活动的生物安全管理，适用本条例。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本条例所称病原微生物，是指能够使人或者动物致病的微生物。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本条例所称实验活动，是指实验室从事与病原微生物菌(毒)种、样本有关的研究、教学、检测、诊断等活动。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国务院卫生主管部门主管与人体健康有关的实验室及其实验活动的生物安全监督工作。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国务院兽医主管部门主管与动物有关的实验室及其实验活动的生物安全监督工作。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国务院其他有关部门在各自职责范围内负责实验室及其实验活动的生物安全管理工作。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县级以上地方人民政府及其有关部门在各自职责范围内负责实验室及其实验活动的生物安全管理工作。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国家对病原微生物实行分类管理，对实验室实行分级管理。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国家实行统一的实验室生物安全标准。实验室应当符合国家标准和要求。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实验室的设立单位及其主管部门负责实验室日常活动的管理，承担建立健全安全管理制度，检查、维护实验设施、设备，控制实验室感染的职责。</w:t>
      </w:r>
    </w:p>
    <w:p>
      <w:pPr>
        <w:pStyle w:val="3"/>
        <w:bidi w:val="0"/>
      </w:pPr>
      <w:r>
        <w:t>第二章　病原微生物的分类和管理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国家根据病原微生物的传染性、感染后对个体或者群体的危害程度，将病原微生物分为四类：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第一类病原微生物，是指能够引起人类或者动物非常严重疾病的微生物，以及我国尚未发现或者已经宣布消灭的微生物。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第二类病原微生物，是指能够引起人类或者动物严重疾病，比较容易直接或者间接在人与人、动物与人、动物与动物间传播的微生物。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第三类病原微生物，是指能够引起人类或者动物疾病，但一般情况下对人、动物或者环境不构成严重危害，传播风险有限，实验室感染后很少引起严重疾病，并且具备有效治疗和预防措施的微生物。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第四类病原微生物，是指在通常情况下不会引起人类或者动物疾病的微生物。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第一类、第二类病原微生物统称为高致病性病原微生物。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人间传染的病原微生物名录由国务院卫生主管部门商国务院有关部门后制定、调整并予以公布；动物间传染的病原微生物名录由国务院兽医主管部门商国务院有关部门后制定、调整并予以公布。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采集病原微生物样本应当具备下列条件：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(一)具有与采集病原微生物样本所需要的生物安全防护水平相适应的设备；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(二)具有掌握相关专业知识和操作技能的工作人员；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(三)具有有效的防止病原微生物扩散和感染的措施；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(四)具有保证病原微生物样本质量的技术方法和手段。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采集高致病性病原微生物样本的工作人员在采集过程中应当防止病原微生物扩散和感染，并对样本的来源、采集过程和方法等作详细记录。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运输高致病性病原微生物菌(毒)种或者样本，应当通过陆路运输；没有陆路通道，必须经水路运输的，可以通过水路运输；紧急情况下或者需要将高致病性病原微生物菌(毒)种或者样本运往国外的，可以通过民用航空运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运输高致病性病原微生物菌(毒)种或者样本，应当具备下列条件：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(一)运输目的、高致病性病原微生物的用途和接收单位符合国务院卫生主管部门或者兽医主管部门的规定；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(二)高致病性病原微生物菌(毒)种或者样本的容器应当密封，容器或者包装材料还应当符合防水、防破损、防外泄、耐高(低)温、耐高压的要求；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(三)容器或者包装材料上应当印有国务院卫生主管部门或者兽医主管部门规定的生物危险标识、警告用语和提示用语。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输高致病性病原微生物菌(毒)种或者样本，应当经省级以上人民政府卫生主管部门或者兽医主管部门批准。在省、自治区、直辖市行政区域内运输的，由省、自治区、直辖市人民政府卫生主管部门或者兽医主管部门批准；需要跨省、自治区、直辖市运输或者运往国外的，由出发地的省、自治区、直辖市人民政府卫生主管部门或者兽医主管部门进行初审后，分别报国务院卫生主管部门或者兽医主管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出入境检验检疫机构在检验检疫过程中需要运输病原微生物样本的，由国务院出入境检验检疫部门批准，并同时向国务院卫生主管部门或者兽医主管部门通报。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通过民用航空运输高致病性病原微生物菌(毒)种或者样本的，除依照本条第二款、第三款规定取得批准外，还应当经国务院民用航空主管部门批准。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有关主管部门应当对申请人提交的关于运输高致病性病原微生物菌(毒)种或者样本的申请材料进行审查，对符合本条第一款规定条件的，应当即时批准。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运输高致病性病原微生物菌(毒)种或者样本，应当由不少于2人的专人护送，并采取相应的防护措施。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有关单位或者个人不得通过公共电(汽)车和城市铁路运输病原微生物菌(毒)种或者样本。</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需要通过铁路、公路、民用航空等公共交通工具运输高致病性病原微生物菌(毒)种或者样本的，承运单位应当凭本条例第十一条规定的批准文件予以运输。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承运单位应当与护送人共同采取措施，确保所运输的高致病性病原微生物菌(毒)种或者样本的安全，严防发生被盗、被抢、丢失、泄漏事件。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国务院卫生主管部门或者兽医主管部门指定的菌(毒)种保藏中心或者专业实验室(以下称保藏机构)，承担集中储存病原微生物菌(毒)种和样本的任务。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保藏机构应当依照国务院卫生主管部门或者兽医主管部门的规定，储存实验室送交的病原微生物菌(毒)种和样本，并向实验室提供病原微生物菌(毒)种和样本。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保藏机构应当制定严格的安全保管制度，作好病原微生物菌(毒)种和样本进出和储存的记录，建立档案制度，并指定专人负责。对高致病性病原微生物菌(毒)种和样本应当设专库或者专柜单独储存。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保藏机构储存、提供病原微生物菌(毒)种和样本，不得收取任何费用，其经费由同级财政在单位预算中予以保障。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保藏机构的管理办法由国务院卫生主管部门会同国务院兽医主管部门制定。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保藏机构应当凭实验室依照本条例的规定取得的从事高致病性病原微生物相关实验活动的批准文件，向实验室提供高致病性病原微生物菌(毒)种和样本，并予以登记。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实验室在相关实验活动结束后，应当依照国务院卫生主管部门或者兽医主管部门的规定，及时将病原微生物菌(毒)种和样本就地销毁或者送交保藏机构保管。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保藏机构接受实验室送交的病原微生物菌(毒)种和样本，应当予以登记，并开具接收证明。</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高致病性病原微生物菌(毒)种或者样本在运输、储存中被盗、被抢、丢失、泄漏的，承运单位、护送人、保藏机构应当采取必要的控制措施，并在2小时内分别向承运单位的主管部门、护送人所在单位和保藏机构的主管部门报告，同时向所在地的县级人民政府卫生主管部门或者兽医主管部门报告，发生被盗、被抢、丢失的，还应当向公安机关报告；接到报告的卫生主管部门或者兽医主管部门应当在2小时内向本级人民政府报告，并同时向上级人民政府卫生主管部门或者兽医主管部门和国务院卫生主管部门或者兽医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人民政府应当在接到报告后2小时内向设区的市级人民政府或者上一级人民政府报告；设区的市级人民政府应当在接到报告后2小时内向省、自治区、直辖市人民政府报告。省、自治区、直辖市人民政府应当在接到报告后1小时内，向国务院卫生主管部门或者兽医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发现高致病性病原微生物菌(毒)种或者样本的容器或者包装材料，应当及时向附近的卫生主管部门或者兽医主管部门报告；接到报告的卫生主管部门或者兽医主管部门应当及时组织调查核实，并依法采取必要的控制措施。</w:t>
      </w:r>
    </w:p>
    <w:p>
      <w:pPr>
        <w:pStyle w:val="3"/>
        <w:bidi w:val="0"/>
      </w:pPr>
      <w:r>
        <w:t>第三章　实验室的设立与管理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国家根据实验室对病原微生物的生物安全防护水平，并依照实验室生物安全国家标准的规定，将实验室分为一级、二级、三级、四级。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新建、改建、扩建三级、四级实验室或者生产、进口移动式三级、四级实验室应当遵守下列规定：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(一)符合国家生物安全实验室体系规划并依法履行有关审批手续；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(二)经国务院科技主管部门审查同意；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(三)符合国家生物安全实验室建筑技术规范；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(四)依照《中华人民共和国环境影响评价法》的规定进行环境影响评价并经环境保护主管部门审查批准；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(五)生物安全防护级别与其拟从事的实验活动相适应。</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所称国家生物安全实验室体系规划，由国务院投资主管部门会同国务院有关部门制定。制定国家生物安全实验室体系规划应当遵循总量控制、合理布局、资源共享的原则，并应当召开听证会或者论证会，听取公共卫生、环境保护、投资管理和实验室管理等方面专家的意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三级、四级实验室应当通过实验室国家认可。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认证认可监督管理部门确定的认可机构应当依照实验室生物安全国家标准以及本条例的有关规定，对三级、四级实验室进行认可；实验室通过认可的，颁发相应级别的生物安全实验室证书。证书有效期为5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一级、二级实验室不得从事高致病性病原微生物实验活动。三级、四级实验室从事高致病性病原微生物实验活动，应当具备下列条件：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(一)实验目的和拟从事的实验活动符合国务院卫生主管部门或者兽医主管部门的规定；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(二)通过实验室国家认可；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(三)具有与拟从事的实验活动相适应的工作人员；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(四)工程质量经建筑主管部门依法检测验收合格。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三级、四级实验室，需要从事某种高致病性病原微生物或者疑似高致病性病原微生物实验活动的，应当依照国务院卫生主管部门或者兽医主管部门的规定报省级以上人民政府卫生主管部门或者兽医主管部门批准。实验活动结果以及工作情况应当向原批准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验室申报或者接受与高致病性病原微生物有关的科研项目，应当符合科研需要和生物安全要求，具有相应的生物安全防护水平。与动物间传染的高致病性病原微生物有关的科研项目，应当经国务院兽医主管部门同意；与人体健康有关的高致病性病原微生物科研项目，实验室应当将立项结果告知省级以上人民政府卫生主管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出入境检验检疫机构、医疗卫生机构、动物防疫机构在实验室开展检测、诊断工作时，发现高致病性病原微生物或者疑似高致病性病原微生物，需要进一步从事这类高致病性病原微生物相关实验活动的，应当依照本条例的规定经批准同意，并在具备相应条件的实验室中进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专门从事检测、诊断的实验室应当严格依照国务院卫生主管部门或者兽医主管部门的规定，建立健全规章制度，保证实验室生物安全。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省级以上人民政府卫生主管部门或者兽医主管部门应当自收到需要从事高致病性病原微生物相关实验活动的申请之日起15日内作出是否批准的决定。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出入境检验检疫机构为了检验检疫工作的紧急需要，申请在实验室对高致病性病原微生物或者疑似高致病性病原微生物开展进一步实验活动的，省级以上人民政府卫生主管部门或者兽医主管部门应当自收到申请之时起2小时内作出是否批准的决定；2小时内未作出决定的，实验室可以从事相应的实验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省级以上人民政府卫生主管部门或者兽医主管部门应当为申请人通过电报、电传、传真、电子数据交换和电子邮件等方式提出申请提供方便。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新建、改建或者扩建一级、二级实验室，应当向设区的市级人民政府卫生主管部门或者兽医主管部门备案。设区的市级人民政府卫生主管部门或者兽医主管部门应当每年将备案情况汇总后报省、自治区、直辖市人民政府卫生主管部门或者兽医主管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国务院卫生主管部门和兽医主管部门应当定期汇总并互相通报实验室数量和实验室设立、分布情况，以及三级、四级实验室从事高致病性病原微生物实验活动的情况。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已经建成并通过实验室国家认可的三级、四级实验室应当向所在地的县级人民政府环境保护主管部门备案。环境保护主管部门依照法律、行政法规的规定对实验室排放的废水、废气和其他废物处置情况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对我国尚未发现或者已经宣布消灭的病原微生物，任何单位和个人未经批准不得从事相关实验活动。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为了预防、控制传染病，需要从事前款所指病原微生物相关实验活动的，应当经国务院卫生主管部门或者兽医主管部门批准，并在批准部门指定的专业实验室中进行。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实验室使用新技术、新方法从事高致病性病原微生物相关实验活动的，应当符合防止高致病性病原微生物扩散、保证生物安全和操作者人身安全的要求，并经国家病原微生物实验室生物安全专家委员会论证；经论证可行的，方可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需要在动物体上从事高致病性病原微生物相关实验活动的，应当在符合动物实验室生物安全国家标准的三级以上实验室进行。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实验室的设立单位负责实验室的生物安全管理。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实验室的设立单位应当依照本条例的规定制定科学、严格的管理制度，并定期对有关生物安全规定的落实情况进行检查，定期对实验室设施、设备、材料等进行检查、维护和更新，以确保其符合国家标准。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实验室的设立单位及其主管部门应当加强对实验室日常活动的管理。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实验室负责人为实验室生物安全的第一责任人。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实验室从事实验活动应当严格遵守有关国家标准和实验室技术规范、操作规程。实验室负责人应当指定专人监督检查实验室技术规范和操作规程的落实情况。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从事高致病性病原微生物相关实验活动的实验室的设立单位，应当建立健全安全保卫制度，采取安全保卫措施，严防高致病性病原微生物被盗、被抢、丢失、泄漏，保障实验室及其病原微生物的安全。实验室发生高致病性病原微生物被盗、被抢、丢失、泄漏的，实验室的设立单位应当依照本条例第十七条的规定进行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从事高致病性病原微生物相关实验活动的实验室应当向当地公安机关备案，并接受公安机关有关实验室安全保卫工作的监督指导。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实验室或者实验室的设立单位应当每年定期对工作人员进行培训，保证其掌握实验室技术规范、操作规程、生物安全防护知识和实际操作技能，并进行考核。工作人员经考核合格的，方可上岗。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从事高致病性病原微生物相关实验活动的实验室，应当每半年将培训、考核其工作人员的情况和实验室运行情况向省、自治区、直辖市人民政府卫生主管部门或者兽医主管部门报告。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从事高致病性病原微生物相关实验活动应当有2名以上的工作人员共同进行。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入从事高致病性病原微生物相关实验活动的实验室的工作人员或者其他有关人员，应当经实验室负责人批准。实验室应当为其提供符合防护要求的防护用品并采取其他职业防护措施。从事高致病性病原微生物相关实验活动的实验室，还应当对实验室工作人员进行健康监测，每年组织对其进行体检，并建立健康档案；必要时，应当对实验室工作人员进行预防接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在同一个实验室的同一个独立安全区域内，只能同时从事一种高致病性病原微生物的相关实验活动。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实验室应当建立实验档案，记录实验室使用情况和安全监督情况。实验室从事高致病性病原微生物相关实验活动的实验档案保存期，不得少于20年。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实验室应当依照环境保护的有关法律、行政法规和国务院有关部门的规定，对废水、废气以及其他废物进行处置，并制定相应的环境保护措施，防止环境污染。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三级、四级实验室应当在明显位置标示国务院卫生主管部门和兽医主管部门规定的生物危险标识和生物安全实验室级别标志。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从事高致病性病原微生物相关实验活动的实验室应当制定实验室感染应急处置预案，并向该实验室所在地的省、自治区、直辖市人民政府卫生主管部门或者兽医主管部门备案。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国务院卫生主管部门和兽医主管部门会同国务院有关部门组织病原学、免疫学、检验医学、流行病学、预防兽医学、环境保护和实验室管理等方面的专家，组成国家病原微生物实验室生物安全专家委员会。该委员会承担从事高致病性病原微生物相关实验活动的实验室的设立与运行的生物安全评估和技术咨询、论证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卫生主管部门和兽医主管部门会同同级人民政府有关部门组织病原学、免疫学、检验医学、流行病学、预防兽医学、环境保护和实验室管理等方面的专家，组成本地区病原微生物实验室生物安全专家委员会。该委员会承担本地区实验室设立和运行的技术咨询工作。</w:t>
      </w:r>
    </w:p>
    <w:p>
      <w:pPr>
        <w:pStyle w:val="3"/>
        <w:bidi w:val="0"/>
      </w:pPr>
      <w:r>
        <w:t>第四章　实验室感染控制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实验室的设立单位应当指定专门的机构或者人员承担实验室感染控制工作，定期检查实验室的生物安全防护、病原微生物菌(毒)种和样本保存与使用、安全操作、实验室排放的废水和废气以及其他废物处置等规章制度的实施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负责实验室感染控制工作的机构或者人员应当具有与该实验室中的病原微生物有关的传染病防治知识，并定期调查、了解实验室工作人员的健康状况。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实验室工作人员出现与本实验室从事的高致病性病原微生物相关实验活动有关的感染临床症状或者体征时，实验室负责人应当向负责实验室感染控制工作的机构或者人员报告，同时派专人陪同及时就诊；实验室工作人员应当将近期所接触的病原微生物的种类和危险程度如实告知诊治医疗机构。接诊的医疗机构应当及时救治；不具备相应救治条件的，应当依照规定将感染的实验室工作人员转诊至具备相应传染病救治条件的医疗机构；具备相应传染病救治条件的医疗机构应当接诊治疗，不得拒绝救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实验室发生高致病性病原微生物泄漏时，实验室工作人员应当立即采取控制措施，防止高致病性病原微生物扩散，并同时向负责实验室感染控制工作的机构或者人员报告。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负责实验室感染控制工作的机构或者人员接到本条例第四十三条、第四十四条规定的报告后，应当立即启动实验室感染应急处置预案，并组织人员对该实验室生物安全状况等情况进行调查；确认发生实验室感染或者高致病性病原微生物泄漏的，应当依照本条例第十七条的规定进行报告，并同时采取控制措施，对有关人员进行医学观察或者隔离治疗，封闭实验室，防止扩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(一)封闭被病原微生物污染的实验室或者可能造成病原微生物扩散的场所；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(二)开展流行病学调查；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(三)对病人进行隔离治疗，对相关人员进行医学检查；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(四)对密切接触者进行医学观察；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(五)进行现场消毒；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(六)对染疫或者疑似染疫的动物采取隔离、扑杀等措施；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(七)其他需要采取的预防、控制措施。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医疗机构或者兽医医疗机构及其执行职务的医务人员发现由于实验室感染而引起的与高致病性病原微生物相关的传染病病人、疑似传染病病人或者患有疫病、疑似患有疫病的动物，诊治的医疗机构或者兽医医疗机构应当在2小时内报告所在地的县级人民政府卫生主管部门或者兽医主管部门；接到报告的卫生主管部门或者兽医主管部门应当在2小时内通报实验室所在地的县级人民政府卫生主管部门或者兽医主管部门。接到通报的卫生主管部门或者兽医主管部门应当依照本条例第四十六条的规定采取预防、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发生病原微生物扩散，有可能造成传染病暴发、流行时，县级以上人民政府卫生主管部门或者兽医主管部门应当依照有关法律、行政法规的规定以及实验室感染应急处置预案进行处理。</w:t>
      </w:r>
    </w:p>
    <w:p>
      <w:pPr>
        <w:pStyle w:val="3"/>
        <w:bidi w:val="0"/>
      </w:pPr>
      <w:r>
        <w:t>第五章　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县级以上地方人民政府卫生主管部门、兽医主管部门依照各自分工，履行下列职责：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(一)对病原微生物菌(毒)种、样本的采集、运输、储存进行监督检查；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(二)对从事高致病性病原微生物相关实验活动的实验室是否符合本条例规定的条件进行监督检查；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(三)对实验室或者实验室的设立单位培训、考核其工作人员以及上岗人员的情况进行监督检查；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(四)对实验室是否按照有关国家标准、技术规范和操作规程从事病原微生物相关实验活动进行监督检查。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县级以上地方人民政府卫生主管部门、兽医主管部门，应当主要通过检查反映实验室执行国家有关法律、行政法规以及国家标准和要求的记录、档案、报告，切实履行监督管理职责。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县级以上人民政府卫生主管部门、兽医主管部门、环境保护主管部门在履行监督检查职责时，有权进入被检查单位和病原微生物泄漏或者扩散现场调查取证、采集样品，查阅复制有关资料。需要进入从事高致病性病原微生物相关实验活动的实验室调查取证、采集样品的，应当指定或者委托专业机构实施。被检查单位应当予以配合，不得拒绝、阻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国务院认证认可监督管理部门依照《中华人民共和国认证认可条例》的规定对实验室认可活动进行监督检查。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卫生主管部门、兽医主管部门、环境保护主管部门应当依据法定的职权和程序履行职责，做到公正、公平、公开、文明、高效。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卫生主管部门、兽医主管部门、环境保护主管部门的执法人员执行职务时，应当有2名以上执法人员参加，出示执法证件，并依照规定填写执法文书。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现场检查笔录、采样记录等文书经核对无误后，应当由执法人员和被检查人、被采样人签名。被检查人、被采样人拒绝签名的，执法人员应当在自己签名后注明情况。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w:t>
      </w:r>
      <w:r>
        <w:rPr>
          <w:rFonts w:ascii="Times New Roman" w:hAnsi="Times New Roman" w:eastAsia="仿宋_GB2312" w:cs="Times New Roman"/>
          <w:sz w:val="32"/>
          <w:szCs w:val="32"/>
        </w:rPr>
        <w:t>　卫生主管部门、兽医主管部门、环境保护主管部门及其执法人员执行职务，应当自觉接受社会和公民的监督。公民、法人和其他组织有权向上级人民政府及其卫生主管部门、兽医主管部门、环境保护主管部门举报地方人民政府及其有关主管部门不依照规定履行职责的情况。接到举报的有关人民政府或者其卫生主管部门、兽医主管部门、环境保护主管部门，应当及时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w:t>
      </w:r>
      <w:r>
        <w:rPr>
          <w:rFonts w:ascii="Times New Roman" w:hAnsi="Times New Roman" w:eastAsia="仿宋_GB2312" w:cs="Times New Roman"/>
          <w:sz w:val="32"/>
          <w:szCs w:val="32"/>
        </w:rPr>
        <w:t>　上级人民政府卫生主管部门、兽医主管部门、环境保护主管部门发现属于下级人民政府卫生主管部门、兽医主管部门、环境保护主管部门职责范围内需要处理的事项的，应当及时告知该部门处理；下级人民政府卫生主管部门、兽医主管部门、环境保护主管部门不及时处理或者不积极履行本部门职责的，上级人民政府卫生主管部门、兽医主管部门、环境保护主管部门应当责令其限期改正；逾期不改正的，上级人民政府卫生主管部门、兽医主管部门、环境保护主管部门有权直接予以处理。</w:t>
      </w:r>
    </w:p>
    <w:p>
      <w:pPr>
        <w:pStyle w:val="3"/>
        <w:bidi w:val="0"/>
      </w:pPr>
      <w:r>
        <w:t>第六章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w:t>
      </w:r>
      <w:r>
        <w:rPr>
          <w:rFonts w:ascii="Times New Roman" w:hAnsi="Times New Roman" w:eastAsia="仿宋_GB2312" w:cs="Times New Roman"/>
          <w:sz w:val="32"/>
          <w:szCs w:val="32"/>
        </w:rPr>
        <w:t>　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w:t>
      </w:r>
      <w:r>
        <w:rPr>
          <w:rFonts w:ascii="Times New Roman" w:hAnsi="Times New Roman" w:eastAsia="仿宋_GB2312" w:cs="Times New Roman"/>
          <w:sz w:val="32"/>
          <w:szCs w:val="32"/>
        </w:rPr>
        <w:t>　卫生主管部门或者兽医主管部门违反本条例的规定，准予不符合本条例规定条件的实验室从事高致病性病原微生物相关实验活动的，由作出批准决定的卫生主管部门或者兽医主管部门撤销原批准决定，责令有关实验室立即停止有关活动，并监督其将用于实验活动的病原微生物销毁或者送交保藏机构，对直接负责的主管人员和其他直接责任人员依法给予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因违法作出批准决定给当事人的合法权益造成损害的，作出批准决定的卫生主管部门或者兽医主管部门应当依法承担赔偿责任。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w:t>
      </w:r>
      <w:r>
        <w:rPr>
          <w:rFonts w:ascii="Times New Roman" w:hAnsi="Times New Roman" w:eastAsia="仿宋_GB2312" w:cs="Times New Roman"/>
          <w:sz w:val="32"/>
          <w:szCs w:val="32"/>
        </w:rPr>
        <w:t>　卫生主管部门或者兽医主管部门对出入境检验检疫机构为了检验检疫工作的紧急需要，申请在实验室对高致病性病原微生物或者疑似高致病性病原微生物开展进一步检测活动，不在法定期限内作出是否批准决定的，由其上级行政机关或者监察机关责令改正，给予警告；造成传染病传播、流行或者其他严重后果的，对直接负责的主管人员和其他直接责任人员依法给予撤职、开除的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w:t>
      </w:r>
      <w:r>
        <w:rPr>
          <w:rFonts w:ascii="Times New Roman" w:hAnsi="Times New Roman" w:eastAsia="仿宋_GB2312" w:cs="Times New Roman"/>
          <w:sz w:val="32"/>
          <w:szCs w:val="32"/>
        </w:rPr>
        <w:t>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w:t>
      </w:r>
      <w:r>
        <w:rPr>
          <w:rFonts w:ascii="Times New Roman" w:hAnsi="Times New Roman" w:eastAsia="仿宋_GB2312" w:cs="Times New Roman"/>
          <w:sz w:val="32"/>
          <w:szCs w:val="32"/>
        </w:rPr>
        <w:t>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(一)未依照规定在明显位置标示国务院卫生主管部门和兽医主管部门规定的生物危险标识和生物安全实验室级别标志的；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(二)未向原批准部门报告实验活动结果以及工作情况的；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(三)未依照规定采集病原微生物样本，或者对所采集样本的来源、采集过程和方法等未作详细记录的；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(四)新建、改建或者扩建一级、二级实验室未向设区的市级人民政府卫生主管部门或者兽医主管部门备案的；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(五)未依照规定定期对工作人员进行培训，或者工作人员考核不合格允许其上岗，或者批准未采取防护措施的人员进入实验室的；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(六)实验室工作人员未遵守实验室生物安全技术规范和操作规程的；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(七)未依照规定建立或者保存实验档案的；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(八)未依照规定制定实验室感染应急处置预案并备案的。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w:t>
      </w:r>
      <w:r>
        <w:rPr>
          <w:rFonts w:ascii="Times New Roman" w:hAnsi="Times New Roman" w:eastAsia="仿宋_GB2312" w:cs="Times New Roman"/>
          <w:sz w:val="32"/>
          <w:szCs w:val="32"/>
        </w:rPr>
        <w:t>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2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w:t>
      </w:r>
      <w:r>
        <w:rPr>
          <w:rFonts w:ascii="Times New Roman" w:hAnsi="Times New Roman" w:eastAsia="仿宋_GB2312" w:cs="Times New Roman"/>
          <w:sz w:val="32"/>
          <w:szCs w:val="32"/>
        </w:rPr>
        <w:t>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w:t>
      </w:r>
      <w:r>
        <w:rPr>
          <w:rFonts w:ascii="Times New Roman" w:hAnsi="Times New Roman" w:eastAsia="仿宋_GB2312" w:cs="Times New Roman"/>
          <w:sz w:val="32"/>
          <w:szCs w:val="32"/>
        </w:rPr>
        <w:t>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(一)实验室在相关实验活动结束后，未依照规定及时将病原微生物菌(毒)种和样本就地销毁或者送交保藏机构保管的；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(二)实验室使用新技术、新方法从事高致病性病原微生物相关实验活动未经国家病原微生物实验室生物安全专家委员会论证的；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(三)未经批准擅自从事在我国尚未发现或者已经宣布消灭的病原微生物相关实验活动的；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(四)在未经指定的专业实验室从事在我国尚未发现或者已经宣布消灭的病原微生物相关实验活动的；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(五)在同一个实验室的同一个独立安全区域内同时从事两种或者两种以上高致病性病原微生物的相关实验活动的。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w:t>
      </w:r>
      <w:r>
        <w:rPr>
          <w:rFonts w:ascii="Times New Roman" w:hAnsi="Times New Roman" w:eastAsia="仿宋_GB2312" w:cs="Times New Roman"/>
          <w:sz w:val="32"/>
          <w:szCs w:val="32"/>
        </w:rPr>
        <w:t>　认可机构对不符合实验室生物安全国家标准以及本条例规定条件的实验室予以认可，或者对符合实验室生物安全国家标准以及本条例规定条件的实验室不予认可的，由国务院认证认可监督管理部门责令限期改正，给予警告；造成传染病传播、流行或者其他严重后果的，由国务院认证认可监督管理部门撤销其认可资格，有上级主管部门的，由其上级主管部门对主要负责人、直接负责的主管人员和其他直接责任人员依法给予撤职、开除的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w:t>
      </w:r>
      <w:r>
        <w:rPr>
          <w:rFonts w:ascii="Times New Roman" w:hAnsi="Times New Roman" w:eastAsia="仿宋_GB2312" w:cs="Times New Roman"/>
          <w:sz w:val="32"/>
          <w:szCs w:val="32"/>
        </w:rPr>
        <w:t>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w:t>
      </w:r>
      <w:r>
        <w:rPr>
          <w:rFonts w:ascii="Times New Roman" w:hAnsi="Times New Roman" w:eastAsia="仿宋_GB2312" w:cs="Times New Roman"/>
          <w:sz w:val="32"/>
          <w:szCs w:val="32"/>
        </w:rPr>
        <w:t>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w:t>
      </w:r>
      <w:r>
        <w:rPr>
          <w:rFonts w:ascii="Times New Roman" w:hAnsi="Times New Roman" w:eastAsia="仿宋_GB2312" w:cs="Times New Roman"/>
          <w:sz w:val="32"/>
          <w:szCs w:val="32"/>
        </w:rPr>
        <w:t>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w:t>
      </w:r>
      <w:r>
        <w:rPr>
          <w:rFonts w:ascii="Times New Roman" w:hAnsi="Times New Roman" w:eastAsia="仿宋_GB2312" w:cs="Times New Roman"/>
          <w:sz w:val="32"/>
          <w:szCs w:val="32"/>
        </w:rPr>
        <w:t>　保藏机构未依照规定储存实验室送交的菌(毒)种和样本，或者未依照规定提供菌(毒)种和样本的，由其指定部门责令限期改正，收回违法提供的菌(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w:t>
      </w:r>
      <w:r>
        <w:rPr>
          <w:rFonts w:ascii="Times New Roman" w:hAnsi="Times New Roman" w:eastAsia="仿宋_GB2312" w:cs="Times New Roman"/>
          <w:sz w:val="32"/>
          <w:szCs w:val="32"/>
        </w:rPr>
        <w:t>　县级以上人民政府有关主管部门，未依照本条例的规定履行实验室及其实验活动监督检查职责的，由有关人民政府在各自职责范围内责令改正，通报批评；造成传染病传播、流行或者其他严重后果的，对直接负责的主管人员，依法给予行政处分；构成犯罪的，依法追究刑事责任。</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w:t>
      </w:r>
      <w:r>
        <w:rPr>
          <w:rFonts w:ascii="Times New Roman" w:hAnsi="Times New Roman" w:eastAsia="仿宋_GB2312" w:cs="Times New Roman"/>
          <w:sz w:val="32"/>
          <w:szCs w:val="32"/>
        </w:rPr>
        <w:t>　军队实验室由中国人民解放军卫生主管部门参照本条例负责监督管理。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w:t>
      </w:r>
      <w:r>
        <w:rPr>
          <w:rFonts w:ascii="Times New Roman" w:hAnsi="Times New Roman" w:eastAsia="仿宋_GB2312" w:cs="Times New Roman"/>
          <w:sz w:val="32"/>
          <w:szCs w:val="32"/>
        </w:rPr>
        <w:t>　本条例施行前设立的实验室，应当自本条例施行之日起6个月内，依照本条例的规定，办理有关手续。</w:t>
      </w:r>
    </w:p>
    <w:p>
      <w:pPr>
        <w:pStyle w:val="10"/>
        <w:ind w:firstLine="640" w:firstLineChars="200"/>
        <w:rPr>
          <w:rFonts w:hint="eastAsia"/>
          <w:lang w:eastAsia="zh-CN"/>
        </w:rPr>
      </w:pPr>
      <w:r>
        <w:rPr>
          <w:rFonts w:ascii="Times New Roman" w:hAnsi="Times New Roman" w:eastAsia="黑体" w:cs="Times New Roman"/>
          <w:sz w:val="32"/>
          <w:szCs w:val="32"/>
        </w:rPr>
        <w:t>第七十二条</w:t>
      </w:r>
      <w:r>
        <w:rPr>
          <w:rFonts w:ascii="Times New Roman" w:hAnsi="Times New Roman" w:eastAsia="仿宋_GB2312" w:cs="Times New Roman"/>
          <w:sz w:val="32"/>
          <w:szCs w:val="32"/>
        </w:rPr>
        <w:t>　本条例自公布之日起施行。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63250F"/>
    <w:rsid w:val="09723D9C"/>
    <w:rsid w:val="097F7BAD"/>
    <w:rsid w:val="09B60066"/>
    <w:rsid w:val="0A6920EC"/>
    <w:rsid w:val="0A8C2526"/>
    <w:rsid w:val="0AE962F4"/>
    <w:rsid w:val="0AEB2A0D"/>
    <w:rsid w:val="0B1D5B42"/>
    <w:rsid w:val="0B3D0578"/>
    <w:rsid w:val="0C255D01"/>
    <w:rsid w:val="0C297D97"/>
    <w:rsid w:val="0C430769"/>
    <w:rsid w:val="0CD74830"/>
    <w:rsid w:val="0D3C4224"/>
    <w:rsid w:val="0D610029"/>
    <w:rsid w:val="0D88679D"/>
    <w:rsid w:val="0DEE401D"/>
    <w:rsid w:val="0DFE10B9"/>
    <w:rsid w:val="0FB80839"/>
    <w:rsid w:val="107A4DEE"/>
    <w:rsid w:val="10A47D69"/>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FD764D6"/>
    <w:rsid w:val="1FE16FBA"/>
    <w:rsid w:val="2037230C"/>
    <w:rsid w:val="2096095A"/>
    <w:rsid w:val="20D86240"/>
    <w:rsid w:val="21CE0F2E"/>
    <w:rsid w:val="221D0BEA"/>
    <w:rsid w:val="22DD4281"/>
    <w:rsid w:val="23EE2E5F"/>
    <w:rsid w:val="24263C7F"/>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CD50485"/>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EB1F63"/>
    <w:rsid w:val="3DFC6899"/>
    <w:rsid w:val="3E3675FB"/>
    <w:rsid w:val="3EEC1919"/>
    <w:rsid w:val="3F800236"/>
    <w:rsid w:val="3F8C783C"/>
    <w:rsid w:val="3FC97A54"/>
    <w:rsid w:val="40226A0B"/>
    <w:rsid w:val="40C1378F"/>
    <w:rsid w:val="40DC5AC3"/>
    <w:rsid w:val="40E97848"/>
    <w:rsid w:val="40F66CF8"/>
    <w:rsid w:val="40FE47B4"/>
    <w:rsid w:val="41B857FD"/>
    <w:rsid w:val="429465D8"/>
    <w:rsid w:val="43110E6A"/>
    <w:rsid w:val="431B4937"/>
    <w:rsid w:val="434336CE"/>
    <w:rsid w:val="4361706F"/>
    <w:rsid w:val="43CA1521"/>
    <w:rsid w:val="43D46F84"/>
    <w:rsid w:val="444B0E8A"/>
    <w:rsid w:val="453169BC"/>
    <w:rsid w:val="454D6241"/>
    <w:rsid w:val="45866A2B"/>
    <w:rsid w:val="46291052"/>
    <w:rsid w:val="46D80A88"/>
    <w:rsid w:val="46EE0064"/>
    <w:rsid w:val="47793996"/>
    <w:rsid w:val="47A250A3"/>
    <w:rsid w:val="48AC4D69"/>
    <w:rsid w:val="494B3B16"/>
    <w:rsid w:val="49C224BB"/>
    <w:rsid w:val="4A4F5FBC"/>
    <w:rsid w:val="4A732A37"/>
    <w:rsid w:val="4B2E2D61"/>
    <w:rsid w:val="4C062CA1"/>
    <w:rsid w:val="4CF75612"/>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8035B31"/>
    <w:rsid w:val="58F6185E"/>
    <w:rsid w:val="591257DC"/>
    <w:rsid w:val="5B353B99"/>
    <w:rsid w:val="5B6D42C1"/>
    <w:rsid w:val="5B8B1EB4"/>
    <w:rsid w:val="5C223266"/>
    <w:rsid w:val="5D0B40ED"/>
    <w:rsid w:val="5D101449"/>
    <w:rsid w:val="5DB22BFD"/>
    <w:rsid w:val="5DD739B2"/>
    <w:rsid w:val="5E4D7776"/>
    <w:rsid w:val="5E900D37"/>
    <w:rsid w:val="5F5011B7"/>
    <w:rsid w:val="5F88093C"/>
    <w:rsid w:val="5FDB251D"/>
    <w:rsid w:val="60492E1B"/>
    <w:rsid w:val="60FB7125"/>
    <w:rsid w:val="61152047"/>
    <w:rsid w:val="620467BA"/>
    <w:rsid w:val="622D2BEC"/>
    <w:rsid w:val="62F60DE0"/>
    <w:rsid w:val="63740607"/>
    <w:rsid w:val="63DD0DD3"/>
    <w:rsid w:val="63DE7402"/>
    <w:rsid w:val="641F5EE8"/>
    <w:rsid w:val="642517C4"/>
    <w:rsid w:val="649C0E8F"/>
    <w:rsid w:val="65152017"/>
    <w:rsid w:val="652E7954"/>
    <w:rsid w:val="65532802"/>
    <w:rsid w:val="65BF6566"/>
    <w:rsid w:val="665D25F4"/>
    <w:rsid w:val="66E50FB1"/>
    <w:rsid w:val="674048E2"/>
    <w:rsid w:val="67D71794"/>
    <w:rsid w:val="68426F20"/>
    <w:rsid w:val="68715924"/>
    <w:rsid w:val="69D06427"/>
    <w:rsid w:val="6A403C00"/>
    <w:rsid w:val="6A49703B"/>
    <w:rsid w:val="6B120859"/>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2A30A90"/>
    <w:rsid w:val="72AE5309"/>
    <w:rsid w:val="72C042BE"/>
    <w:rsid w:val="73160902"/>
    <w:rsid w:val="735A6A5C"/>
    <w:rsid w:val="746D1278"/>
    <w:rsid w:val="762C29D0"/>
    <w:rsid w:val="768C0C3C"/>
    <w:rsid w:val="76975133"/>
    <w:rsid w:val="769B60FD"/>
    <w:rsid w:val="76C10F77"/>
    <w:rsid w:val="77D8678E"/>
    <w:rsid w:val="78061DFD"/>
    <w:rsid w:val="7814798C"/>
    <w:rsid w:val="7819740D"/>
    <w:rsid w:val="789F59B2"/>
    <w:rsid w:val="78E10B53"/>
    <w:rsid w:val="78ED2B64"/>
    <w:rsid w:val="792B0700"/>
    <w:rsid w:val="7A224A32"/>
    <w:rsid w:val="7A4B0114"/>
    <w:rsid w:val="7A6D55E9"/>
    <w:rsid w:val="7ABD49CD"/>
    <w:rsid w:val="7BA85469"/>
    <w:rsid w:val="7C0E15E2"/>
    <w:rsid w:val="7C28250F"/>
    <w:rsid w:val="7C38697D"/>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2019-12-25T11:29:44Z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